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F3D0" w14:textId="77777777" w:rsidR="00064DAA" w:rsidRDefault="00064DAA" w:rsidP="003A6D1C">
      <w:bookmarkStart w:id="0" w:name="_GoBack"/>
      <w:bookmarkEnd w:id="0"/>
    </w:p>
    <w:p w14:paraId="682238FE" w14:textId="20320396" w:rsidR="00064DAA" w:rsidRDefault="00064DAA" w:rsidP="00064DAA">
      <w:pPr>
        <w:rPr>
          <w:b/>
        </w:rPr>
      </w:pPr>
      <w:r>
        <w:rPr>
          <w:b/>
        </w:rPr>
        <w:t xml:space="preserve">Bolagsordning för </w:t>
      </w:r>
      <w:r w:rsidR="00FF2D97">
        <w:rPr>
          <w:b/>
        </w:rPr>
        <w:t>Gigger</w:t>
      </w:r>
      <w:r>
        <w:rPr>
          <w:b/>
        </w:rPr>
        <w:t xml:space="preserve"> </w:t>
      </w:r>
      <w:r w:rsidR="00FF2D97">
        <w:rPr>
          <w:b/>
        </w:rPr>
        <w:t xml:space="preserve">Group </w:t>
      </w:r>
      <w:r>
        <w:rPr>
          <w:b/>
        </w:rPr>
        <w:t>AB (publ), 556658-5054</w:t>
      </w:r>
    </w:p>
    <w:p w14:paraId="03F15E97" w14:textId="77777777" w:rsidR="00064DAA" w:rsidRDefault="00064DAA" w:rsidP="00064DAA">
      <w:pPr>
        <w:rPr>
          <w:b/>
        </w:rPr>
      </w:pPr>
    </w:p>
    <w:p w14:paraId="5DC67310" w14:textId="7C04046F" w:rsidR="00B0228B" w:rsidRPr="003A6D1C" w:rsidRDefault="00B0228B" w:rsidP="00B0228B">
      <w:r w:rsidRPr="00B0228B">
        <w:rPr>
          <w:i/>
        </w:rPr>
        <w:t xml:space="preserve">Antagen på </w:t>
      </w:r>
      <w:r w:rsidR="00A276B6">
        <w:rPr>
          <w:i/>
        </w:rPr>
        <w:t>extra bolagsstämma</w:t>
      </w:r>
      <w:r w:rsidR="00926EE3">
        <w:rPr>
          <w:i/>
        </w:rPr>
        <w:t xml:space="preserve"> </w:t>
      </w:r>
      <w:r w:rsidR="00FF2D97">
        <w:rPr>
          <w:i/>
        </w:rPr>
        <w:t>2020-07-15</w:t>
      </w:r>
    </w:p>
    <w:p w14:paraId="21390D19" w14:textId="77777777" w:rsidR="00064DAA" w:rsidRDefault="00064DAA" w:rsidP="00064DAA">
      <w:pPr>
        <w:rPr>
          <w:b/>
        </w:rPr>
      </w:pPr>
    </w:p>
    <w:p w14:paraId="24B83B38" w14:textId="77777777" w:rsidR="00B0228B" w:rsidRDefault="00B0228B" w:rsidP="00064DAA">
      <w:pPr>
        <w:rPr>
          <w:b/>
        </w:rPr>
      </w:pPr>
    </w:p>
    <w:p w14:paraId="4AC4A397" w14:textId="77777777" w:rsidR="00064DAA" w:rsidRDefault="00064DAA" w:rsidP="00064DAA">
      <w:pPr>
        <w:rPr>
          <w:b/>
        </w:rPr>
      </w:pPr>
      <w:r>
        <w:rPr>
          <w:b/>
        </w:rPr>
        <w:t>§1 Firma</w:t>
      </w:r>
    </w:p>
    <w:p w14:paraId="74C4C64C" w14:textId="77777777" w:rsidR="00064DAA" w:rsidRDefault="00064DAA" w:rsidP="00064DAA">
      <w:pPr>
        <w:rPr>
          <w:b/>
        </w:rPr>
      </w:pPr>
    </w:p>
    <w:p w14:paraId="3BF847C6" w14:textId="5D2D1E5C" w:rsidR="00064DAA" w:rsidRDefault="00064DAA" w:rsidP="00064DAA">
      <w:r>
        <w:t xml:space="preserve">Bolagets firma är </w:t>
      </w:r>
      <w:r w:rsidR="00FF2D97">
        <w:t>Gigger Group</w:t>
      </w:r>
      <w:r>
        <w:t xml:space="preserve"> AB (publ).</w:t>
      </w:r>
    </w:p>
    <w:p w14:paraId="3EE63BA4" w14:textId="77777777" w:rsidR="00064DAA" w:rsidRDefault="00064DAA" w:rsidP="00064DAA"/>
    <w:p w14:paraId="218ACBB6" w14:textId="77777777" w:rsidR="00064DAA" w:rsidRDefault="00064DAA" w:rsidP="00064DAA">
      <w:pPr>
        <w:rPr>
          <w:b/>
        </w:rPr>
      </w:pPr>
      <w:r>
        <w:rPr>
          <w:b/>
        </w:rPr>
        <w:t>§2 Säte</w:t>
      </w:r>
    </w:p>
    <w:p w14:paraId="64B5C361" w14:textId="77777777" w:rsidR="00064DAA" w:rsidRDefault="00064DAA" w:rsidP="00064DAA"/>
    <w:p w14:paraId="2C155E45" w14:textId="60EF79ED" w:rsidR="00064DAA" w:rsidRDefault="00064DAA" w:rsidP="00064DAA">
      <w:r>
        <w:t xml:space="preserve">Styrelsen skall ha sitt säte i </w:t>
      </w:r>
      <w:r w:rsidR="00FF2D97">
        <w:t>Stockholm</w:t>
      </w:r>
      <w:r>
        <w:t>.</w:t>
      </w:r>
    </w:p>
    <w:p w14:paraId="4ACE4479" w14:textId="77777777" w:rsidR="00064DAA" w:rsidRDefault="00064DAA" w:rsidP="00064DAA"/>
    <w:p w14:paraId="6625B3C4" w14:textId="77777777" w:rsidR="00064DAA" w:rsidRDefault="00064DAA" w:rsidP="00064DAA">
      <w:pPr>
        <w:rPr>
          <w:b/>
        </w:rPr>
      </w:pPr>
      <w:r>
        <w:rPr>
          <w:b/>
        </w:rPr>
        <w:t>§3 Verksamhet</w:t>
      </w:r>
    </w:p>
    <w:p w14:paraId="4F6E4FED" w14:textId="77777777" w:rsidR="00064DAA" w:rsidRDefault="00064DAA" w:rsidP="00064DAA"/>
    <w:p w14:paraId="55FD1C40" w14:textId="5EC798F9" w:rsidR="00064DAA" w:rsidRDefault="00064DAA" w:rsidP="00064DAA">
      <w:r>
        <w:t xml:space="preserve">Föremålet för bolagets verksamhet </w:t>
      </w:r>
      <w:r w:rsidR="00FF2D97">
        <w:t>ska vara att sammankoppla köpare och säljare av tjänster och produkter genom upphandlingar, tillhandahålla bemanningstjänster, äga och förvalta</w:t>
      </w:r>
      <w:r w:rsidR="007A419C">
        <w:t xml:space="preserve"> </w:t>
      </w:r>
      <w:r w:rsidR="00FF2D97">
        <w:t xml:space="preserve">aktier samt därmed förenlig verksamhet. </w:t>
      </w:r>
    </w:p>
    <w:p w14:paraId="6A31A554" w14:textId="77777777" w:rsidR="00064DAA" w:rsidRDefault="00064DAA" w:rsidP="00064DAA"/>
    <w:p w14:paraId="0DA07ECE" w14:textId="77777777" w:rsidR="00064DAA" w:rsidRDefault="00064DAA" w:rsidP="00064DAA">
      <w:pPr>
        <w:rPr>
          <w:b/>
        </w:rPr>
      </w:pPr>
      <w:r>
        <w:rPr>
          <w:b/>
        </w:rPr>
        <w:t>§ 4 Aktiekapitalet</w:t>
      </w:r>
    </w:p>
    <w:p w14:paraId="612D5EE7" w14:textId="77777777" w:rsidR="00064DAA" w:rsidRDefault="00064DAA" w:rsidP="00064DAA"/>
    <w:p w14:paraId="249EBB5B" w14:textId="63A12C0A" w:rsidR="00064DAA" w:rsidRDefault="00064DAA" w:rsidP="00064DAA">
      <w:r>
        <w:t xml:space="preserve">Aktiekapitalet skall utgöra lägst </w:t>
      </w:r>
      <w:r w:rsidR="00FF2D97">
        <w:t>8</w:t>
      </w:r>
      <w:r w:rsidRPr="001F1778">
        <w:t xml:space="preserve"> </w:t>
      </w:r>
      <w:r w:rsidR="00A2649F" w:rsidRPr="001F1778">
        <w:t xml:space="preserve">000 000 kronor och högst </w:t>
      </w:r>
      <w:r w:rsidR="00FF2D97">
        <w:t>32</w:t>
      </w:r>
      <w:r w:rsidR="00A2649F" w:rsidRPr="001F1778">
        <w:t xml:space="preserve"> 0</w:t>
      </w:r>
      <w:r w:rsidRPr="001F1778">
        <w:t>00 000 kronor.</w:t>
      </w:r>
      <w:r>
        <w:t xml:space="preserve"> </w:t>
      </w:r>
    </w:p>
    <w:p w14:paraId="78865A10" w14:textId="77777777" w:rsidR="00064DAA" w:rsidRDefault="00064DAA" w:rsidP="00064DAA"/>
    <w:p w14:paraId="553A0701" w14:textId="77777777" w:rsidR="00064DAA" w:rsidRDefault="00064DAA" w:rsidP="00064DAA">
      <w:pPr>
        <w:rPr>
          <w:b/>
        </w:rPr>
      </w:pPr>
      <w:r>
        <w:rPr>
          <w:b/>
        </w:rPr>
        <w:t>§ 5 Antal aktier och aktieslag</w:t>
      </w:r>
    </w:p>
    <w:p w14:paraId="2E2BA07C" w14:textId="77777777" w:rsidR="00064DAA" w:rsidRDefault="00064DAA" w:rsidP="00064DAA"/>
    <w:p w14:paraId="5AB876D5" w14:textId="680355B1" w:rsidR="00064DAA" w:rsidRPr="001F1778" w:rsidRDefault="00064DAA" w:rsidP="00064DAA">
      <w:r>
        <w:t xml:space="preserve">Antalet aktier i bolaget skall vara lägst </w:t>
      </w:r>
      <w:r w:rsidR="00FF2D97">
        <w:t>8</w:t>
      </w:r>
      <w:r w:rsidR="00A276B6">
        <w:t>0</w:t>
      </w:r>
      <w:r w:rsidR="00A2649F" w:rsidRPr="001F1778">
        <w:t xml:space="preserve"> 000 000 och högst </w:t>
      </w:r>
      <w:r w:rsidR="00FF2D97">
        <w:t>320</w:t>
      </w:r>
      <w:r w:rsidRPr="001F1778">
        <w:t xml:space="preserve"> 000 000 stycken. </w:t>
      </w:r>
    </w:p>
    <w:p w14:paraId="71B3B5A6" w14:textId="77777777" w:rsidR="00064DAA" w:rsidRDefault="00064DAA" w:rsidP="00064DAA">
      <w:pPr>
        <w:spacing w:before="100" w:beforeAutospacing="1" w:after="100" w:afterAutospacing="1"/>
      </w:pPr>
      <w:r>
        <w:t xml:space="preserve">Aktierna ska kunna ges ut i två serier, serie A till ett antal av högst 100 procent av aktiekapitalet och serie B till ett antal av högst 100 procent av aktiekapitalet. Aktie av serie A medför tio röster och aktie av serie B en röst. </w:t>
      </w:r>
    </w:p>
    <w:p w14:paraId="164C8D34" w14:textId="77777777" w:rsidR="00064DAA" w:rsidRDefault="00064DAA" w:rsidP="00064DAA">
      <w:pPr>
        <w:spacing w:before="100" w:beforeAutospacing="1" w:after="100" w:afterAutospacing="1"/>
        <w:rPr>
          <w:b/>
        </w:rPr>
      </w:pPr>
      <w:r>
        <w:rPr>
          <w:b/>
        </w:rPr>
        <w:t>§ 6 Aktieägares rätt vid ökning av aktiekapitalet</w:t>
      </w:r>
    </w:p>
    <w:p w14:paraId="11D1CCF3" w14:textId="77777777" w:rsidR="00064DAA" w:rsidRDefault="00064DAA" w:rsidP="00064DAA">
      <w:pPr>
        <w:spacing w:before="100" w:beforeAutospacing="1" w:after="100" w:afterAutospacing="1"/>
      </w:pPr>
      <w:r>
        <w:t xml:space="preserve">Beslutar bolaget att genom en kontantemission eller kvittningsemission ge ut nya aktier av serie A och serie B, ska ägare av aktier av serie A och serie B ha företrädesrätt att teckna nya aktier av samma aktieslag i förhållande till det antal aktier innehavaren förut äger (primär företrädesrätt). Aktier som inte tecknats med primär företrädesrätt ska erbjudas samtliga aktieägare till teckning (subsidiär företrädesrätt). Om inte de aktier som erbjuds på detta sätt räcker för den teckning som sker med subsidiär företrädesrätt, ska aktierna fördelas mellan tecknarna i förhållande till det antal aktier de förut äger och, i den mån detta inte kan ske, genom lottning. </w:t>
      </w:r>
    </w:p>
    <w:p w14:paraId="38B03D93" w14:textId="77777777" w:rsidR="00064DAA" w:rsidRDefault="00064DAA" w:rsidP="00064DAA">
      <w:pPr>
        <w:spacing w:before="100" w:beforeAutospacing="1" w:after="100" w:afterAutospacing="1"/>
      </w:pPr>
      <w:r>
        <w:t xml:space="preserve">Beslutar bolaget att genom kontantemission eller kvittningsemission ge ut aktier av endast serie A eller serie B, ska samtliga aktieägare, oavsett om deras aktier är av serie A </w:t>
      </w:r>
      <w:r>
        <w:lastRenderedPageBreak/>
        <w:t xml:space="preserve">eller serie B, ha företrädesrätt att teckna nya aktier i förhållande till det antal aktier de förut äger. </w:t>
      </w:r>
    </w:p>
    <w:p w14:paraId="5C370C30" w14:textId="77777777" w:rsidR="00064DAA" w:rsidRDefault="00064DAA" w:rsidP="00064DAA">
      <w:pPr>
        <w:spacing w:before="100" w:beforeAutospacing="1" w:after="100" w:afterAutospacing="1"/>
      </w:pPr>
      <w:r>
        <w:t xml:space="preserve">Om bolaget beslutar att ge ut teckningsoptioner eller konvertibler genom kontant- eller kvittningsemission, har aktieägarna företrädesrätt att teckna teckningsoptioner som om emissionen gällde de aktier som kan komma att nytecknas på grund av optionsrätt respektive företrädesrätt att teckna konvertibler som om emissionen gällde de aktier som konvertiblerna kan komma att bytas ut mot. </w:t>
      </w:r>
    </w:p>
    <w:p w14:paraId="46DB7AD5" w14:textId="77777777" w:rsidR="00064DAA" w:rsidRDefault="00064DAA" w:rsidP="00064DAA">
      <w:pPr>
        <w:spacing w:before="100" w:beforeAutospacing="1" w:after="100" w:afterAutospacing="1"/>
      </w:pPr>
      <w:r>
        <w:t xml:space="preserve">Detta innebär inte någon inskränkning i möjligheten att fatta beslut om kontant- eller kvittningsemission med avvikelse från aktieägarnas företrädesrätt. </w:t>
      </w:r>
    </w:p>
    <w:p w14:paraId="6D041EB5" w14:textId="77777777" w:rsidR="00064DAA" w:rsidRDefault="00064DAA" w:rsidP="00064DAA">
      <w:pPr>
        <w:spacing w:before="100" w:beforeAutospacing="1" w:after="100" w:afterAutospacing="1"/>
      </w:pPr>
      <w:r>
        <w:t>Vid ökning av aktiekapitalet genom fondemission ska nya aktier emitteras av varje aktieslag i förhållande till det antal aktier av samma slag som finns sedan tidigare. I samband med detta ska gamla aktier av visst aktieslag medföra rätt till nya aktier av samma aktieslag. Detta innebär inte någon inskränkning i möjligheten att genom fondemission, efter erforderlig ändring i bolagsordningen, ge ut aktier av nytt slag.</w:t>
      </w:r>
    </w:p>
    <w:p w14:paraId="521B0415" w14:textId="77777777" w:rsidR="00064DAA" w:rsidRDefault="00064DAA" w:rsidP="00064DAA">
      <w:pPr>
        <w:ind w:left="567" w:hanging="567"/>
        <w:rPr>
          <w:b/>
          <w:bCs/>
        </w:rPr>
      </w:pPr>
      <w:r>
        <w:rPr>
          <w:b/>
          <w:bCs/>
        </w:rPr>
        <w:t>§ 7 Omvandlingsförbehåll</w:t>
      </w:r>
    </w:p>
    <w:p w14:paraId="71787D0E" w14:textId="77777777" w:rsidR="00064DAA" w:rsidRDefault="00064DAA" w:rsidP="00064DAA">
      <w:pPr>
        <w:ind w:left="567" w:hanging="567"/>
        <w:rPr>
          <w:bCs/>
        </w:rPr>
      </w:pPr>
    </w:p>
    <w:p w14:paraId="366283B6" w14:textId="77777777" w:rsidR="00064DAA" w:rsidRPr="00B0228B" w:rsidRDefault="00064DAA" w:rsidP="00064DAA">
      <w:pPr>
        <w:pStyle w:val="Brdtext"/>
        <w:rPr>
          <w:b w:val="0"/>
          <w:iCs/>
        </w:rPr>
      </w:pPr>
      <w:r w:rsidRPr="00B0228B">
        <w:rPr>
          <w:b w:val="0"/>
          <w:iCs/>
        </w:rPr>
        <w:t>Innehavare av aktie av serie A äger rätt att påfordra att aktien skall omvandlas till aktie av serie B. Framställning därom skall skriftligen göras hos bolagets styrelse. Därvid skall anges hur många aktier som önskas omvandlade, och, om omvandlingen inte avser hela innehavet av aktier av serie A, vilka av dessa omvandlingen avser. Bolagets styrelse skall utan dröjsmål anmäla omvandlingen för registrering hos Bolagsverket och omvandlingen är verkställd, när sådan registrering sker. Utbyte av aktiebrev skall därefter snarast ske.</w:t>
      </w:r>
    </w:p>
    <w:p w14:paraId="7C63C03E" w14:textId="77777777" w:rsidR="00064DAA" w:rsidRDefault="00064DAA" w:rsidP="00064DAA">
      <w:pPr>
        <w:pStyle w:val="Brdtext"/>
        <w:rPr>
          <w:i/>
          <w:iCs/>
        </w:rPr>
      </w:pPr>
    </w:p>
    <w:p w14:paraId="19D316A4" w14:textId="77777777" w:rsidR="00064DAA" w:rsidRDefault="00064DAA" w:rsidP="00064DAA">
      <w:pPr>
        <w:rPr>
          <w:b/>
        </w:rPr>
      </w:pPr>
      <w:r>
        <w:rPr>
          <w:b/>
        </w:rPr>
        <w:t>§ 8 Styrelse</w:t>
      </w:r>
    </w:p>
    <w:p w14:paraId="52185ED4" w14:textId="77777777" w:rsidR="00064DAA" w:rsidRDefault="00064DAA" w:rsidP="00064DAA"/>
    <w:p w14:paraId="0BFACF46" w14:textId="77777777" w:rsidR="00064DAA" w:rsidRDefault="00064DAA" w:rsidP="00064DAA">
      <w:r>
        <w:t>Styrelsen skall bestå av lägst tre (3) ledamöter och högst sex (6) ledamöter med lägst 0 och högst 2 suppleanter.</w:t>
      </w:r>
    </w:p>
    <w:p w14:paraId="2FEE6541" w14:textId="77777777" w:rsidR="00064DAA" w:rsidRDefault="00064DAA" w:rsidP="00064DAA">
      <w:r>
        <w:t>Styrelsen väljs årligen på årsstämma för tiden till dess nästa årsstämma har hållits.</w:t>
      </w:r>
    </w:p>
    <w:p w14:paraId="67AF4AA0" w14:textId="77777777" w:rsidR="00B0228B" w:rsidRDefault="00B0228B" w:rsidP="00064DAA"/>
    <w:p w14:paraId="4ACEB810" w14:textId="77777777" w:rsidR="00064DAA" w:rsidRDefault="00064DAA" w:rsidP="00064DAA">
      <w:pPr>
        <w:rPr>
          <w:b/>
        </w:rPr>
      </w:pPr>
      <w:r>
        <w:rPr>
          <w:b/>
        </w:rPr>
        <w:t>§ 9 Revisor</w:t>
      </w:r>
    </w:p>
    <w:p w14:paraId="777812C7" w14:textId="77777777" w:rsidR="00064DAA" w:rsidRDefault="00064DAA" w:rsidP="00064DAA"/>
    <w:p w14:paraId="54755BBF" w14:textId="77777777" w:rsidR="00064DAA" w:rsidRDefault="00064DAA" w:rsidP="00064DAA">
      <w:pPr>
        <w:rPr>
          <w:i/>
        </w:rPr>
      </w:pPr>
      <w:r>
        <w:t>För granskning av bolagets årsredovisning samt styrelsens och verkställande direktörens förvaltning utses en revisor.</w:t>
      </w:r>
    </w:p>
    <w:p w14:paraId="354D872D" w14:textId="77777777" w:rsidR="00064DAA" w:rsidRDefault="00064DAA" w:rsidP="00064DAA">
      <w:pPr>
        <w:rPr>
          <w:i/>
        </w:rPr>
      </w:pPr>
    </w:p>
    <w:p w14:paraId="7A47AC8D" w14:textId="77777777" w:rsidR="00064DAA" w:rsidRDefault="00064DAA" w:rsidP="00064DAA">
      <w:pPr>
        <w:rPr>
          <w:b/>
        </w:rPr>
      </w:pPr>
      <w:r>
        <w:rPr>
          <w:b/>
        </w:rPr>
        <w:t>§ 10 Kallelse till bolagsstämma</w:t>
      </w:r>
    </w:p>
    <w:p w14:paraId="2AB389F2" w14:textId="77777777" w:rsidR="00064DAA" w:rsidRDefault="00064DAA" w:rsidP="00064DAA"/>
    <w:p w14:paraId="44BFD1F8" w14:textId="77777777" w:rsidR="00064DAA" w:rsidRDefault="00064DAA" w:rsidP="00064DAA">
      <w:r>
        <w:t>Kallelse till bolagsstämma ska ske genom annonsering i Post- och Inrikes Tidningar och genom att kallelsen hålls tillgänglig på bolagets webbplats. Samtidigt som kallelse sker ska bolaget genom annonsering i rikstäckande tidning (Svenska Dagbladet, Dagens Industri eller Dagens Nyheter) upplysa om att kallelse har skett.</w:t>
      </w:r>
    </w:p>
    <w:p w14:paraId="0DE6F4C2" w14:textId="77777777" w:rsidR="00064DAA" w:rsidRDefault="00064DAA" w:rsidP="00064DAA"/>
    <w:p w14:paraId="70486BE6" w14:textId="77777777" w:rsidR="00064DAA" w:rsidRDefault="00064DAA" w:rsidP="00064DAA">
      <w:pPr>
        <w:rPr>
          <w:color w:val="000000"/>
        </w:rPr>
      </w:pPr>
      <w:r>
        <w:rPr>
          <w:color w:val="000000"/>
        </w:rPr>
        <w:lastRenderedPageBreak/>
        <w:t>Kallelse till årsstämma samt kallelse till extra bolagsstämma där fråga om ändring av bolagsordningen kommer att behandlas skall utfärdas tidigast sex veckor och senast fyra veckor före stämman. Kallelse till annan extra bolagsstämma skall utfärdas tidigast sex veckor och senast två veckor före stämman.</w:t>
      </w:r>
    </w:p>
    <w:p w14:paraId="256043F4" w14:textId="77777777" w:rsidR="00064DAA" w:rsidRDefault="00064DAA" w:rsidP="00064DAA">
      <w:pPr>
        <w:rPr>
          <w:b/>
        </w:rPr>
      </w:pPr>
    </w:p>
    <w:p w14:paraId="791BA29B" w14:textId="77777777" w:rsidR="00064DAA" w:rsidRDefault="00064DAA" w:rsidP="00064DAA">
      <w:pPr>
        <w:rPr>
          <w:b/>
        </w:rPr>
      </w:pPr>
      <w:r>
        <w:rPr>
          <w:b/>
        </w:rPr>
        <w:t xml:space="preserve">§ 11 Ärenden på </w:t>
      </w:r>
      <w:r w:rsidR="00B0228B">
        <w:rPr>
          <w:b/>
        </w:rPr>
        <w:t>år</w:t>
      </w:r>
      <w:r>
        <w:rPr>
          <w:b/>
        </w:rPr>
        <w:t>sstämma</w:t>
      </w:r>
    </w:p>
    <w:p w14:paraId="343A12A4" w14:textId="77777777" w:rsidR="00064DAA" w:rsidRDefault="00064DAA" w:rsidP="00064DAA"/>
    <w:p w14:paraId="32E9DAA5" w14:textId="77777777" w:rsidR="00064DAA" w:rsidRDefault="00064DAA" w:rsidP="00064DAA">
      <w:r>
        <w:t>Årsstämma hålles årligen inom 6 månader efter räkenskapsårets utgång. På årsstämma skall följande ärenden förekomma:</w:t>
      </w:r>
    </w:p>
    <w:p w14:paraId="5075C734" w14:textId="77777777" w:rsidR="00064DAA" w:rsidRDefault="00064DAA" w:rsidP="00064DAA"/>
    <w:p w14:paraId="5167F8DF" w14:textId="77777777" w:rsidR="00064DAA" w:rsidRDefault="00064DAA" w:rsidP="00064DAA">
      <w:pPr>
        <w:tabs>
          <w:tab w:val="left" w:pos="567"/>
        </w:tabs>
        <w:ind w:left="567"/>
      </w:pPr>
      <w:r>
        <w:t>1. Val av ordförande vid stämma</w:t>
      </w:r>
    </w:p>
    <w:p w14:paraId="1CC35AD5" w14:textId="77777777" w:rsidR="00064DAA" w:rsidRDefault="00064DAA" w:rsidP="00064DAA">
      <w:pPr>
        <w:tabs>
          <w:tab w:val="left" w:pos="567"/>
        </w:tabs>
        <w:ind w:left="567"/>
      </w:pPr>
      <w:r>
        <w:t>2. Upprättande och godkännande av röstlängd</w:t>
      </w:r>
    </w:p>
    <w:p w14:paraId="0D804C5D" w14:textId="77777777" w:rsidR="00064DAA" w:rsidRDefault="00064DAA" w:rsidP="00064DAA">
      <w:pPr>
        <w:tabs>
          <w:tab w:val="left" w:pos="567"/>
        </w:tabs>
        <w:ind w:left="567"/>
      </w:pPr>
      <w:r>
        <w:t>3. Godkännande av förslaget till dagordning</w:t>
      </w:r>
    </w:p>
    <w:p w14:paraId="0DFE3AFE" w14:textId="77777777" w:rsidR="00064DAA" w:rsidRDefault="00064DAA" w:rsidP="00064DAA">
      <w:pPr>
        <w:tabs>
          <w:tab w:val="left" w:pos="567"/>
        </w:tabs>
        <w:ind w:left="567"/>
      </w:pPr>
      <w:r>
        <w:t>4. Val av en eller flera justeringsmän</w:t>
      </w:r>
    </w:p>
    <w:p w14:paraId="6D29E661" w14:textId="77777777" w:rsidR="00064DAA" w:rsidRDefault="00064DAA" w:rsidP="00064DAA">
      <w:pPr>
        <w:tabs>
          <w:tab w:val="left" w:pos="567"/>
        </w:tabs>
        <w:ind w:left="567"/>
      </w:pPr>
      <w:r>
        <w:t>5. Prövning av om stämman blivit behörigen sammankallad</w:t>
      </w:r>
    </w:p>
    <w:p w14:paraId="7B781BB5" w14:textId="77777777" w:rsidR="00064DAA" w:rsidRDefault="00064DAA" w:rsidP="00064DAA">
      <w:pPr>
        <w:tabs>
          <w:tab w:val="left" w:pos="567"/>
        </w:tabs>
        <w:ind w:left="567"/>
      </w:pPr>
      <w:r>
        <w:t>6. Framläggande av årsredovisning och revisionsberättelse samt i förekommande fall koncernbalansräkning och koncernresultaträkning</w:t>
      </w:r>
    </w:p>
    <w:p w14:paraId="49CBF45A" w14:textId="77777777" w:rsidR="00064DAA" w:rsidRDefault="00064DAA" w:rsidP="00064DAA">
      <w:pPr>
        <w:tabs>
          <w:tab w:val="left" w:pos="567"/>
        </w:tabs>
        <w:ind w:left="567"/>
      </w:pPr>
      <w:r>
        <w:t>7. Beslut angående:</w:t>
      </w:r>
    </w:p>
    <w:p w14:paraId="3069F571" w14:textId="77777777" w:rsidR="00064DAA" w:rsidRDefault="00064DAA" w:rsidP="00064DAA">
      <w:pPr>
        <w:tabs>
          <w:tab w:val="left" w:pos="567"/>
        </w:tabs>
        <w:ind w:left="1304"/>
      </w:pPr>
      <w:r>
        <w:t>a. Fastställelse av resultaträkningen och balansräkning och i förekommande fall samt i förekommande fall av koncernbalansräkning och koncernresultaträkning</w:t>
      </w:r>
    </w:p>
    <w:p w14:paraId="6BF9B43C" w14:textId="77777777" w:rsidR="00064DAA" w:rsidRDefault="00064DAA" w:rsidP="00064DAA">
      <w:pPr>
        <w:tabs>
          <w:tab w:val="left" w:pos="567"/>
        </w:tabs>
        <w:ind w:left="1304"/>
      </w:pPr>
      <w:r>
        <w:t>b. Dispositioner beträffande bolagets vinst eller förlust enligt den fastställda balansräkningen</w:t>
      </w:r>
    </w:p>
    <w:p w14:paraId="658446E0" w14:textId="77777777" w:rsidR="00064DAA" w:rsidRDefault="00064DAA" w:rsidP="00064DAA">
      <w:pPr>
        <w:tabs>
          <w:tab w:val="left" w:pos="567"/>
        </w:tabs>
      </w:pPr>
      <w:r>
        <w:tab/>
      </w:r>
      <w:r>
        <w:tab/>
        <w:t>c. Ansvarsfrihet åt styrelsens ledamöter och verkställande direktör</w:t>
      </w:r>
    </w:p>
    <w:p w14:paraId="1E9FDA91" w14:textId="77777777" w:rsidR="00064DAA" w:rsidRDefault="00064DAA" w:rsidP="00064DAA">
      <w:pPr>
        <w:tabs>
          <w:tab w:val="left" w:pos="567"/>
        </w:tabs>
        <w:ind w:left="567"/>
      </w:pPr>
      <w:r>
        <w:t>8. Fastställande av arvoden åt styrelse och revisor.</w:t>
      </w:r>
      <w:r>
        <w:tab/>
      </w:r>
    </w:p>
    <w:p w14:paraId="7590A252" w14:textId="77777777" w:rsidR="00064DAA" w:rsidRDefault="00064DAA" w:rsidP="00064DAA">
      <w:pPr>
        <w:tabs>
          <w:tab w:val="left" w:pos="567"/>
        </w:tabs>
        <w:ind w:left="567"/>
      </w:pPr>
      <w:r>
        <w:t>9. Val av styrelse och i förekommande fall revisor samt suppleanter och revisorssuppleanter.</w:t>
      </w:r>
    </w:p>
    <w:p w14:paraId="48B02617" w14:textId="77777777" w:rsidR="00064DAA" w:rsidRDefault="00064DAA" w:rsidP="00064DAA">
      <w:pPr>
        <w:tabs>
          <w:tab w:val="left" w:pos="567"/>
        </w:tabs>
        <w:ind w:left="567"/>
      </w:pPr>
      <w:r>
        <w:t xml:space="preserve">10. Annat ärende som ankommer på </w:t>
      </w:r>
      <w:r w:rsidR="00B0228B">
        <w:t>år</w:t>
      </w:r>
      <w:r>
        <w:t>sstämman enligt aktiebolagslagen eller bolagsordningen.</w:t>
      </w:r>
    </w:p>
    <w:p w14:paraId="28B21567" w14:textId="77777777" w:rsidR="00064DAA" w:rsidRDefault="00064DAA"/>
    <w:p w14:paraId="52EBCA1D" w14:textId="77777777" w:rsidR="00064DAA" w:rsidRDefault="00064DAA" w:rsidP="00064DAA">
      <w:pPr>
        <w:tabs>
          <w:tab w:val="left" w:pos="567"/>
        </w:tabs>
        <w:rPr>
          <w:b/>
        </w:rPr>
      </w:pPr>
      <w:r>
        <w:rPr>
          <w:b/>
        </w:rPr>
        <w:t>§ 12 Räkenskapsår</w:t>
      </w:r>
    </w:p>
    <w:p w14:paraId="3AB58F21" w14:textId="77777777" w:rsidR="00064DAA" w:rsidRDefault="00064DAA" w:rsidP="00064DAA">
      <w:pPr>
        <w:tabs>
          <w:tab w:val="left" w:pos="567"/>
        </w:tabs>
        <w:rPr>
          <w:b/>
        </w:rPr>
      </w:pPr>
    </w:p>
    <w:p w14:paraId="6240C199" w14:textId="77777777" w:rsidR="00064DAA" w:rsidRDefault="00064DAA" w:rsidP="00064DAA">
      <w:pPr>
        <w:tabs>
          <w:tab w:val="left" w:pos="567"/>
        </w:tabs>
      </w:pPr>
      <w:r>
        <w:t>Bolagets räkenskapsår skall omfatta 1/1 – 31/12.</w:t>
      </w:r>
    </w:p>
    <w:p w14:paraId="694FF7E6" w14:textId="77777777" w:rsidR="00064DAA" w:rsidRDefault="00064DAA" w:rsidP="00064DAA"/>
    <w:p w14:paraId="3BE63348" w14:textId="77777777" w:rsidR="00064DAA" w:rsidRDefault="00064DAA" w:rsidP="00064DAA">
      <w:pPr>
        <w:rPr>
          <w:b/>
        </w:rPr>
      </w:pPr>
      <w:r>
        <w:rPr>
          <w:b/>
        </w:rPr>
        <w:t>§ 13 Avstämningsförbehåll</w:t>
      </w:r>
    </w:p>
    <w:p w14:paraId="094A2D3F" w14:textId="77777777" w:rsidR="00064DAA" w:rsidRDefault="00064DAA" w:rsidP="00064DAA">
      <w:pPr>
        <w:rPr>
          <w:b/>
        </w:rPr>
      </w:pPr>
    </w:p>
    <w:p w14:paraId="7DB6866D" w14:textId="77777777" w:rsidR="005B5B1B" w:rsidRDefault="00064DAA" w:rsidP="003A6D1C">
      <w:r>
        <w:t xml:space="preserve">Den aktieägare eller förvaltare som på avstämningsdagen är införd i aktieboken och antecknad i ett avstämningsregister, enligt </w:t>
      </w:r>
      <w:r>
        <w:rPr>
          <w:rStyle w:val="HTML-citat"/>
        </w:rPr>
        <w:t>4 kap. lagen (1998:1479) om kontoföring av finansiella instrument</w:t>
      </w:r>
      <w:r>
        <w:t xml:space="preserve"> eller den som är antecknad på avstämningskonto enligt </w:t>
      </w:r>
      <w:r>
        <w:rPr>
          <w:rStyle w:val="HTML-citat"/>
        </w:rPr>
        <w:t>4 kap. 18 § första stycket 6-8 nämnda lag</w:t>
      </w:r>
      <w:r>
        <w:t xml:space="preserve">, ska antas vara behörig att utöva de rättigheter som framgår av </w:t>
      </w:r>
      <w:r>
        <w:rPr>
          <w:rStyle w:val="HTML-citat"/>
        </w:rPr>
        <w:t>4 kap. 39 § aktiebolagslagen (2005:551).</w:t>
      </w:r>
    </w:p>
    <w:p w14:paraId="5E4FFACF" w14:textId="77777777" w:rsidR="005B5B1B" w:rsidRDefault="005B5B1B" w:rsidP="003A6D1C"/>
    <w:p w14:paraId="3D55B0BD" w14:textId="77777777" w:rsidR="00B0228B" w:rsidRDefault="00B0228B" w:rsidP="003A6D1C">
      <w:pPr>
        <w:rPr>
          <w:i/>
        </w:rPr>
      </w:pPr>
    </w:p>
    <w:sectPr w:rsidR="00B0228B" w:rsidSect="00B34917">
      <w:headerReference w:type="default" r:id="rId7"/>
      <w:headerReference w:type="first" r:id="rId8"/>
      <w:footerReference w:type="first" r:id="rId9"/>
      <w:pgSz w:w="12240" w:h="15840"/>
      <w:pgMar w:top="1440" w:right="1797" w:bottom="1440" w:left="1797"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61D0" w14:textId="77777777" w:rsidR="00023485" w:rsidRDefault="00023485">
      <w:r>
        <w:separator/>
      </w:r>
    </w:p>
  </w:endnote>
  <w:endnote w:type="continuationSeparator" w:id="0">
    <w:p w14:paraId="42908CF0" w14:textId="77777777" w:rsidR="00023485" w:rsidRDefault="0002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74DE" w14:textId="77777777" w:rsidR="00D221BB" w:rsidRPr="00A8696E" w:rsidRDefault="00D221BB">
    <w:pPr>
      <w:pStyle w:val="FooterSpec"/>
      <w:tabs>
        <w:tab w:val="clear" w:pos="2552"/>
        <w:tab w:val="clear" w:pos="4196"/>
        <w:tab w:val="clear" w:pos="5670"/>
        <w:tab w:val="clear" w:pos="7371"/>
        <w:tab w:val="left" w:pos="1049"/>
        <w:tab w:val="left" w:pos="2126"/>
        <w:tab w:val="left" w:pos="3203"/>
        <w:tab w:val="left" w:pos="4224"/>
        <w:tab w:val="left" w:pos="5443"/>
        <w:tab w:val="left" w:pos="6576"/>
        <w:tab w:val="left" w:pos="7597"/>
        <w:tab w:val="left" w:pos="7710"/>
      </w:tabs>
      <w:rPr>
        <w:rFonts w:ascii="Helvetica" w:hAnsi="Helvetica"/>
        <w:i w:val="0"/>
        <w:w w:val="93"/>
        <w:sz w:val="12"/>
        <w:lang w:val="sv-SE"/>
      </w:rPr>
    </w:pPr>
    <w:r w:rsidRPr="00A8696E">
      <w:rPr>
        <w:rFonts w:ascii="Helvetica" w:hAnsi="Helvetica"/>
        <w:i w:val="0"/>
        <w:w w:val="93"/>
        <w:sz w:val="12"/>
        <w:lang w:val="sv-SE"/>
      </w:rPr>
      <w:tab/>
    </w:r>
    <w:r w:rsidRPr="00A8696E">
      <w:rPr>
        <w:rFonts w:ascii="Helvetica" w:hAnsi="Helvetica"/>
        <w:i w:val="0"/>
        <w:w w:val="93"/>
        <w:sz w:val="12"/>
        <w:lang w:val="sv-S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6A382" w14:textId="77777777" w:rsidR="00023485" w:rsidRDefault="00023485">
      <w:r>
        <w:separator/>
      </w:r>
    </w:p>
  </w:footnote>
  <w:footnote w:type="continuationSeparator" w:id="0">
    <w:p w14:paraId="4D9D4A4A" w14:textId="77777777" w:rsidR="00023485" w:rsidRDefault="00023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84A9" w14:textId="127AA375" w:rsidR="00D221BB" w:rsidRDefault="00D221BB">
    <w:pPr>
      <w:tabs>
        <w:tab w:val="right" w:pos="8789"/>
      </w:tabs>
    </w:pPr>
    <w:r>
      <w:rPr>
        <w:rStyle w:val="Sidnummer"/>
      </w:rPr>
      <w:tab/>
    </w:r>
    <w:r w:rsidR="00A175D1">
      <w:rPr>
        <w:rStyle w:val="Sidnummer"/>
      </w:rPr>
      <w:fldChar w:fldCharType="begin"/>
    </w:r>
    <w:r>
      <w:rPr>
        <w:rStyle w:val="Sidnummer"/>
      </w:rPr>
      <w:instrText xml:space="preserve"> PAGE </w:instrText>
    </w:r>
    <w:r w:rsidR="00A175D1">
      <w:rPr>
        <w:rStyle w:val="Sidnummer"/>
      </w:rPr>
      <w:fldChar w:fldCharType="separate"/>
    </w:r>
    <w:r w:rsidR="00ED3F98">
      <w:rPr>
        <w:rStyle w:val="Sidnummer"/>
        <w:noProof/>
      </w:rPr>
      <w:t>3</w:t>
    </w:r>
    <w:r w:rsidR="00A175D1">
      <w:rPr>
        <w:rStyle w:val="Sidnummer"/>
      </w:rPr>
      <w:fldChar w:fldCharType="end"/>
    </w:r>
    <w:r>
      <w:rPr>
        <w:rStyle w:val="Sidnummer"/>
      </w:rPr>
      <w:t xml:space="preserve"> (</w:t>
    </w:r>
    <w:fldSimple w:instr=" NUMPAGES  \* MERGEFORMAT ">
      <w:r w:rsidR="00ED3F98" w:rsidRPr="00ED3F98">
        <w:rPr>
          <w:rStyle w:val="Sidnummer"/>
          <w:noProof/>
        </w:rPr>
        <w:t>3</w:t>
      </w:r>
    </w:fldSimple>
    <w:r>
      <w:rPr>
        <w:rStyle w:val="Sidnumm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B0AB0" w14:textId="277834F7" w:rsidR="00D221BB" w:rsidRDefault="00D221BB" w:rsidP="00FF2D97">
    <w:pPr>
      <w:pStyle w:val="Sidhuvud"/>
      <w:tabs>
        <w:tab w:val="left" w:pos="3402"/>
      </w:tabs>
      <w:spacing w:line="240" w:lineRule="atLeast"/>
      <w:ind w:left="-720"/>
      <w:rPr>
        <w:b/>
        <w:bCs/>
        <w:color w:val="0000FF"/>
        <w:sz w:val="28"/>
      </w:rPr>
    </w:pPr>
    <w:r>
      <w:rPr>
        <w:b/>
        <w:bCs/>
        <w:color w:val="0000FF"/>
        <w:sz w:val="28"/>
      </w:rPr>
      <w:tab/>
    </w:r>
    <w:r>
      <w:rPr>
        <w:b/>
        <w:bCs/>
        <w:color w:val="0000FF"/>
        <w:sz w:val="28"/>
      </w:rPr>
      <w:tab/>
    </w:r>
    <w:r>
      <w:rPr>
        <w:b/>
        <w:bCs/>
        <w:color w:val="0000FF"/>
        <w:sz w:val="28"/>
      </w:rPr>
      <w:tab/>
    </w:r>
  </w:p>
  <w:p w14:paraId="10D5E406" w14:textId="77777777" w:rsidR="00D221BB" w:rsidRDefault="00D221BB" w:rsidP="00B17D70">
    <w:pPr>
      <w:pStyle w:val="Sidhuvud"/>
      <w:spacing w:line="240" w:lineRule="atLeast"/>
      <w:ind w:left="-720"/>
      <w:rPr>
        <w:b/>
        <w:bCs/>
        <w:noProof/>
        <w:color w:val="0000FF"/>
        <w:sz w:val="28"/>
        <w:lang w:val="sv-SE" w:eastAsia="sv-SE"/>
      </w:rPr>
    </w:pPr>
    <w:r>
      <w:rPr>
        <w:b/>
        <w:bCs/>
        <w:noProof/>
        <w:color w:val="0000FF"/>
        <w:sz w:val="28"/>
        <w:lang w:val="sv-SE" w:eastAsia="sv-SE"/>
      </w:rPr>
      <w:tab/>
    </w:r>
  </w:p>
  <w:p w14:paraId="789964BC" w14:textId="77777777" w:rsidR="00D221BB" w:rsidRDefault="00D221BB" w:rsidP="00B17D70">
    <w:pPr>
      <w:pStyle w:val="Sidhuvud"/>
      <w:spacing w:line="240" w:lineRule="atLeast"/>
      <w:ind w:left="-720"/>
      <w:rPr>
        <w:rFonts w:ascii="Century Schoolbook" w:hAnsi="Century Schoolbook" w:cs="Courier New"/>
        <w:b/>
        <w:bCs/>
        <w:color w:val="0000FF"/>
        <w:sz w:val="28"/>
      </w:rPr>
    </w:pPr>
    <w:r>
      <w:rPr>
        <w:b/>
        <w:bCs/>
        <w:noProof/>
        <w:color w:val="0000FF"/>
        <w:sz w:val="28"/>
        <w:lang w:val="sv-SE" w:eastAsia="sv-SE"/>
      </w:rPr>
      <w:tab/>
    </w:r>
    <w:r>
      <w:rPr>
        <w:b/>
        <w:bCs/>
        <w:color w:val="0000F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B0160"/>
    <w:multiLevelType w:val="hybridMultilevel"/>
    <w:tmpl w:val="D69A5C7E"/>
    <w:lvl w:ilvl="0" w:tplc="53EE5F06">
      <w:start w:val="10"/>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3567BE"/>
    <w:multiLevelType w:val="hybridMultilevel"/>
    <w:tmpl w:val="3C5C0F9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B"/>
    <w:rsid w:val="00023485"/>
    <w:rsid w:val="00036631"/>
    <w:rsid w:val="0005309C"/>
    <w:rsid w:val="00064DAA"/>
    <w:rsid w:val="000F71CE"/>
    <w:rsid w:val="00111D93"/>
    <w:rsid w:val="001B1AA1"/>
    <w:rsid w:val="001D5822"/>
    <w:rsid w:val="001F1778"/>
    <w:rsid w:val="002118E4"/>
    <w:rsid w:val="0025695B"/>
    <w:rsid w:val="0028548E"/>
    <w:rsid w:val="002C1BA7"/>
    <w:rsid w:val="002C755A"/>
    <w:rsid w:val="002E3CD7"/>
    <w:rsid w:val="0031028C"/>
    <w:rsid w:val="00376D35"/>
    <w:rsid w:val="003A6D1C"/>
    <w:rsid w:val="004079C5"/>
    <w:rsid w:val="004E5F11"/>
    <w:rsid w:val="0053278A"/>
    <w:rsid w:val="005B5B1B"/>
    <w:rsid w:val="005E209B"/>
    <w:rsid w:val="0061116F"/>
    <w:rsid w:val="00632E50"/>
    <w:rsid w:val="00661C59"/>
    <w:rsid w:val="006A1F58"/>
    <w:rsid w:val="00712937"/>
    <w:rsid w:val="00726736"/>
    <w:rsid w:val="00755971"/>
    <w:rsid w:val="00794586"/>
    <w:rsid w:val="007A419C"/>
    <w:rsid w:val="00842CED"/>
    <w:rsid w:val="00864F5B"/>
    <w:rsid w:val="00926EE3"/>
    <w:rsid w:val="0097130E"/>
    <w:rsid w:val="009C7D2D"/>
    <w:rsid w:val="00A175D1"/>
    <w:rsid w:val="00A2649F"/>
    <w:rsid w:val="00A276B6"/>
    <w:rsid w:val="00A8696E"/>
    <w:rsid w:val="00AD462B"/>
    <w:rsid w:val="00B0228B"/>
    <w:rsid w:val="00B17D70"/>
    <w:rsid w:val="00B2538A"/>
    <w:rsid w:val="00B34917"/>
    <w:rsid w:val="00B66C6D"/>
    <w:rsid w:val="00B81236"/>
    <w:rsid w:val="00BD7557"/>
    <w:rsid w:val="00C34C88"/>
    <w:rsid w:val="00CD0B45"/>
    <w:rsid w:val="00CD0F8A"/>
    <w:rsid w:val="00CE54C7"/>
    <w:rsid w:val="00D17AD6"/>
    <w:rsid w:val="00D21B16"/>
    <w:rsid w:val="00D221BB"/>
    <w:rsid w:val="00DE4757"/>
    <w:rsid w:val="00E31005"/>
    <w:rsid w:val="00E54780"/>
    <w:rsid w:val="00E71E2F"/>
    <w:rsid w:val="00E971D1"/>
    <w:rsid w:val="00EA286C"/>
    <w:rsid w:val="00ED3F98"/>
    <w:rsid w:val="00F27B95"/>
    <w:rsid w:val="00F3703A"/>
    <w:rsid w:val="00F50020"/>
    <w:rsid w:val="00FA63CE"/>
    <w:rsid w:val="00FF2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C694B"/>
  <w15:docId w15:val="{92252FDB-4448-4CAD-A32C-9C25FBD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AA"/>
    <w:rPr>
      <w:sz w:val="24"/>
      <w:szCs w:val="24"/>
    </w:rPr>
  </w:style>
  <w:style w:type="paragraph" w:styleId="Rubrik1">
    <w:name w:val="heading 1"/>
    <w:basedOn w:val="Normal"/>
    <w:next w:val="Normal"/>
    <w:autoRedefine/>
    <w:qFormat/>
    <w:rsid w:val="009C7D2D"/>
    <w:pPr>
      <w:keepNext/>
      <w:jc w:val="center"/>
      <w:outlineLvl w:val="0"/>
    </w:pPr>
    <w:rPr>
      <w:b/>
      <w:bCs/>
      <w:u w:val="single"/>
      <w:lang w:eastAsia="en-US"/>
    </w:rPr>
  </w:style>
  <w:style w:type="paragraph" w:styleId="Rubrik2">
    <w:name w:val="heading 2"/>
    <w:basedOn w:val="Normal"/>
    <w:next w:val="Normal"/>
    <w:qFormat/>
    <w:rsid w:val="009C7D2D"/>
    <w:pPr>
      <w:keepNext/>
      <w:outlineLvl w:val="1"/>
    </w:pPr>
    <w:rPr>
      <w:b/>
      <w:bCs/>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C7D2D"/>
    <w:pPr>
      <w:tabs>
        <w:tab w:val="center" w:pos="4320"/>
        <w:tab w:val="right" w:pos="8640"/>
      </w:tabs>
    </w:pPr>
    <w:rPr>
      <w:sz w:val="20"/>
      <w:szCs w:val="20"/>
      <w:lang w:val="en-US" w:eastAsia="en-US"/>
    </w:rPr>
  </w:style>
  <w:style w:type="paragraph" w:styleId="Sidfot">
    <w:name w:val="footer"/>
    <w:basedOn w:val="Normal"/>
    <w:rsid w:val="009C7D2D"/>
    <w:pPr>
      <w:tabs>
        <w:tab w:val="center" w:pos="4320"/>
        <w:tab w:val="right" w:pos="8640"/>
      </w:tabs>
    </w:pPr>
    <w:rPr>
      <w:sz w:val="20"/>
      <w:szCs w:val="20"/>
      <w:lang w:val="en-US" w:eastAsia="en-US"/>
    </w:rPr>
  </w:style>
  <w:style w:type="paragraph" w:customStyle="1" w:styleId="FooterSpec">
    <w:name w:val="FooterSpec"/>
    <w:basedOn w:val="Sidfot"/>
    <w:rsid w:val="009C7D2D"/>
    <w:pPr>
      <w:tabs>
        <w:tab w:val="clear" w:pos="4320"/>
        <w:tab w:val="clear" w:pos="8640"/>
        <w:tab w:val="left" w:pos="2552"/>
        <w:tab w:val="left" w:pos="4196"/>
        <w:tab w:val="left" w:pos="5670"/>
        <w:tab w:val="left" w:pos="7371"/>
      </w:tabs>
    </w:pPr>
    <w:rPr>
      <w:rFonts w:ascii="Arial" w:hAnsi="Arial"/>
      <w:i/>
      <w:sz w:val="16"/>
      <w:lang w:val="en-GB"/>
    </w:rPr>
  </w:style>
  <w:style w:type="character" w:styleId="Sidnummer">
    <w:name w:val="page number"/>
    <w:basedOn w:val="Standardstycketeckensnitt"/>
    <w:rsid w:val="009C7D2D"/>
  </w:style>
  <w:style w:type="paragraph" w:styleId="Brdtext">
    <w:name w:val="Body Text"/>
    <w:basedOn w:val="Normal"/>
    <w:link w:val="BrdtextChar"/>
    <w:rsid w:val="009C7D2D"/>
    <w:rPr>
      <w:b/>
      <w:bCs/>
      <w:lang w:eastAsia="en-US"/>
    </w:rPr>
  </w:style>
  <w:style w:type="character" w:styleId="Hyperlnk">
    <w:name w:val="Hyperlink"/>
    <w:basedOn w:val="Standardstycketeckensnitt"/>
    <w:rsid w:val="009C7D2D"/>
    <w:rPr>
      <w:color w:val="0000FF"/>
      <w:u w:val="single"/>
    </w:rPr>
  </w:style>
  <w:style w:type="paragraph" w:styleId="Ballongtext">
    <w:name w:val="Balloon Text"/>
    <w:basedOn w:val="Normal"/>
    <w:semiHidden/>
    <w:rsid w:val="00864F5B"/>
    <w:rPr>
      <w:rFonts w:ascii="Tahoma" w:hAnsi="Tahoma" w:cs="Tahoma"/>
      <w:sz w:val="16"/>
      <w:szCs w:val="16"/>
      <w:lang w:val="en-US" w:eastAsia="en-US"/>
    </w:rPr>
  </w:style>
  <w:style w:type="character" w:customStyle="1" w:styleId="BrdtextChar">
    <w:name w:val="Brödtext Char"/>
    <w:link w:val="Brdtext"/>
    <w:rsid w:val="00064DAA"/>
    <w:rPr>
      <w:b/>
      <w:bCs/>
      <w:sz w:val="24"/>
      <w:szCs w:val="24"/>
      <w:lang w:eastAsia="en-US"/>
    </w:rPr>
  </w:style>
  <w:style w:type="character" w:styleId="HTML-citat">
    <w:name w:val="HTML Cite"/>
    <w:uiPriority w:val="99"/>
    <w:unhideWhenUsed/>
    <w:rsid w:val="00064DAA"/>
    <w:rPr>
      <w:i/>
      <w:iCs/>
    </w:rPr>
  </w:style>
  <w:style w:type="paragraph" w:styleId="Liststycke">
    <w:name w:val="List Paragraph"/>
    <w:basedOn w:val="Normal"/>
    <w:uiPriority w:val="34"/>
    <w:qFormat/>
    <w:rsid w:val="00B02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bergstrom.TH\AppData\Roaming\Microsoft\Templates\TrueheadingSeapilot%20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4150A8AC8B34418025B6ADAE9F2395" ma:contentTypeVersion="12" ma:contentTypeDescription="Skapa ett nytt dokument." ma:contentTypeScope="" ma:versionID="b0ba8fe59f3918c1bfbb9af7e2ffdf22">
  <xsd:schema xmlns:xsd="http://www.w3.org/2001/XMLSchema" xmlns:xs="http://www.w3.org/2001/XMLSchema" xmlns:p="http://schemas.microsoft.com/office/2006/metadata/properties" xmlns:ns2="12bf4832-349a-41e7-81b8-0601ed8df8b2" xmlns:ns3="7c1909c0-a118-4986-83e2-bcb44ad33d58" targetNamespace="http://schemas.microsoft.com/office/2006/metadata/properties" ma:root="true" ma:fieldsID="a6257b62a57f5f90826aaacb9709077d" ns2:_="" ns3:_="">
    <xsd:import namespace="12bf4832-349a-41e7-81b8-0601ed8df8b2"/>
    <xsd:import namespace="7c1909c0-a118-4986-83e2-bcb44ad33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4832-349a-41e7-81b8-0601ed8d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909c0-a118-4986-83e2-bcb44ad33d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b2bd7d-447e-4942-b9f7-c22f7b887f3c}" ma:internalName="TaxCatchAll" ma:showField="CatchAllData" ma:web="7c1909c0-a118-4986-83e2-bcb44ad33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bf4832-349a-41e7-81b8-0601ed8df8b2">
      <Terms xmlns="http://schemas.microsoft.com/office/infopath/2007/PartnerControls"/>
    </lcf76f155ced4ddcb4097134ff3c332f>
    <TaxCatchAll xmlns="7c1909c0-a118-4986-83e2-bcb44ad33d58" xsi:nil="true"/>
  </documentManagement>
</p:properties>
</file>

<file path=customXml/itemProps1.xml><?xml version="1.0" encoding="utf-8"?>
<ds:datastoreItem xmlns:ds="http://schemas.openxmlformats.org/officeDocument/2006/customXml" ds:itemID="{D698CA66-3936-44AA-9335-763995E3C7F2}"/>
</file>

<file path=customXml/itemProps2.xml><?xml version="1.0" encoding="utf-8"?>
<ds:datastoreItem xmlns:ds="http://schemas.openxmlformats.org/officeDocument/2006/customXml" ds:itemID="{6CDDC32E-AADD-4CDF-9B86-B6F62AB3AFC6}"/>
</file>

<file path=customXml/itemProps3.xml><?xml version="1.0" encoding="utf-8"?>
<ds:datastoreItem xmlns:ds="http://schemas.openxmlformats.org/officeDocument/2006/customXml" ds:itemID="{241296EC-D0EF-4A83-BCB4-B4CB3AAB0CC1}"/>
</file>

<file path=docProps/app.xml><?xml version="1.0" encoding="utf-8"?>
<Properties xmlns="http://schemas.openxmlformats.org/officeDocument/2006/extended-properties" xmlns:vt="http://schemas.openxmlformats.org/officeDocument/2006/docPropsVTypes">
  <Template>TrueheadingSeapilot brevmall</Template>
  <TotalTime>0</TotalTime>
  <Pages>3</Pages>
  <Words>952</Words>
  <Characters>5047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LETTER</vt:lpstr>
    </vt:vector>
  </TitlesOfParts>
  <Company/>
  <LinksUpToDate>false</LinksUpToDate>
  <CharactersWithSpaces>5988</CharactersWithSpaces>
  <SharedDoc>false</SharedDoc>
  <HLinks>
    <vt:vector size="18" baseType="variant">
      <vt:variant>
        <vt:i4>7405667</vt:i4>
      </vt:variant>
      <vt:variant>
        <vt:i4>0</vt:i4>
      </vt:variant>
      <vt:variant>
        <vt:i4>0</vt:i4>
      </vt:variant>
      <vt:variant>
        <vt:i4>5</vt:i4>
      </vt:variant>
      <vt:variant>
        <vt:lpwstr>http://www.trueheading.se/</vt:lpwstr>
      </vt:variant>
      <vt:variant>
        <vt:lpwstr/>
      </vt:variant>
      <vt:variant>
        <vt:i4>7405667</vt:i4>
      </vt:variant>
      <vt:variant>
        <vt:i4>15</vt:i4>
      </vt:variant>
      <vt:variant>
        <vt:i4>0</vt:i4>
      </vt:variant>
      <vt:variant>
        <vt:i4>5</vt:i4>
      </vt:variant>
      <vt:variant>
        <vt:lpwstr>http://www.trueheading.se/</vt:lpwstr>
      </vt:variant>
      <vt:variant>
        <vt:lpwstr/>
      </vt:variant>
      <vt:variant>
        <vt:i4>1966142</vt:i4>
      </vt:variant>
      <vt:variant>
        <vt:i4>12</vt:i4>
      </vt:variant>
      <vt:variant>
        <vt:i4>0</vt:i4>
      </vt:variant>
      <vt:variant>
        <vt:i4>5</vt:i4>
      </vt:variant>
      <vt:variant>
        <vt:lpwstr>mailto:info@trueheading.se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Nilstadius</dc:creator>
  <cp:keywords/>
  <dc:description/>
  <cp:lastModifiedBy>Jan Nilstadius</cp:lastModifiedBy>
  <cp:revision>2</cp:revision>
  <cp:lastPrinted>2015-05-22T08:51:00Z</cp:lastPrinted>
  <dcterms:created xsi:type="dcterms:W3CDTF">2020-10-05T08:06:00Z</dcterms:created>
  <dcterms:modified xsi:type="dcterms:W3CDTF">2020-10-05T08:06:00Z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19458</vt:lpwstr>
  </property>
  <property fmtid="{D5CDD505-2E9C-101B-9397-08002B2CF9AE}" pid="3" name="Klartext_arendenr">
    <vt:lpwstr>13</vt:lpwstr>
  </property>
  <property fmtid="{D5CDD505-2E9C-101B-9397-08002B2CF9AE}" pid="4" name="Klartext_dokid">
    <vt:lpwstr>380662</vt:lpwstr>
  </property>
  <property fmtid="{D5CDD505-2E9C-101B-9397-08002B2CF9AE}" pid="5" name="Klartext_datab">
    <vt:lpwstr>Klartext</vt:lpwstr>
  </property>
  <property fmtid="{D5CDD505-2E9C-101B-9397-08002B2CF9AE}" pid="6" name="Klartext_srvr">
    <vt:lpwstr>lma-db01</vt:lpwstr>
  </property>
  <property fmtid="{D5CDD505-2E9C-101B-9397-08002B2CF9AE}" pid="7" name="Klartext_subpath">
    <vt:lpwstr>\\lma-dc02\gemensam\akter\19458\13\0045\</vt:lpwstr>
  </property>
  <property fmtid="{D5CDD505-2E9C-101B-9397-08002B2CF9AE}" pid="8" name="Klartext_path">
    <vt:lpwstr>\\lma-dc02\gemensam\akter\19458\13\0045.docx</vt:lpwstr>
  </property>
  <property fmtid="{D5CDD505-2E9C-101B-9397-08002B2CF9AE}" pid="9" name="Klartext_saved">
    <vt:lpwstr>yes</vt:lpwstr>
  </property>
  <property fmtid="{D5CDD505-2E9C-101B-9397-08002B2CF9AE}" pid="10" name="Klartext_Rubrik">
    <vt:lpwstr>Bolagsordning 2020-07-15</vt:lpwstr>
  </property>
  <property fmtid="{D5CDD505-2E9C-101B-9397-08002B2CF9AE}" pid="11" name="ContentTypeId">
    <vt:lpwstr>0x010100D14150A8AC8B34418025B6ADAE9F2395</vt:lpwstr>
  </property>
</Properties>
</file>