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669" w14:textId="77777777" w:rsidR="00631D5A" w:rsidRDefault="00631D5A" w:rsidP="00730D60">
      <w:pPr>
        <w:ind w:firstLine="709"/>
        <w:rPr>
          <w:sz w:val="32"/>
          <w:szCs w:val="32"/>
        </w:rPr>
      </w:pPr>
    </w:p>
    <w:p w14:paraId="0D966604" w14:textId="77777777" w:rsidR="00631D5A" w:rsidRDefault="00631D5A" w:rsidP="00730D60">
      <w:pPr>
        <w:ind w:firstLine="709"/>
        <w:rPr>
          <w:sz w:val="32"/>
          <w:szCs w:val="32"/>
        </w:rPr>
      </w:pPr>
    </w:p>
    <w:p w14:paraId="5AB3359F" w14:textId="7B15C794" w:rsidR="00444027" w:rsidRPr="00BD16D8" w:rsidRDefault="009045BC" w:rsidP="00730D60">
      <w:pPr>
        <w:ind w:firstLine="709"/>
        <w:rPr>
          <w:sz w:val="32"/>
          <w:szCs w:val="32"/>
        </w:rPr>
      </w:pPr>
      <w:r>
        <w:rPr>
          <w:sz w:val="32"/>
          <w:szCs w:val="32"/>
        </w:rPr>
        <w:t>Ersättningspolicy</w:t>
      </w:r>
    </w:p>
    <w:tbl>
      <w:tblPr>
        <w:tblStyle w:val="Tabellrutnt"/>
        <w:tblW w:w="7821" w:type="dxa"/>
        <w:tblInd w:w="704" w:type="dxa"/>
        <w:tblLook w:val="04A0" w:firstRow="1" w:lastRow="0" w:firstColumn="1" w:lastColumn="0" w:noHBand="0" w:noVBand="1"/>
      </w:tblPr>
      <w:tblGrid>
        <w:gridCol w:w="1856"/>
        <w:gridCol w:w="5965"/>
      </w:tblGrid>
      <w:tr w:rsidR="00444027" w:rsidRPr="000C4C10" w14:paraId="49B9D759" w14:textId="77777777" w:rsidTr="001A6BDC">
        <w:trPr>
          <w:trHeight w:val="488"/>
        </w:trPr>
        <w:tc>
          <w:tcPr>
            <w:tcW w:w="1856" w:type="dxa"/>
            <w:vAlign w:val="center"/>
          </w:tcPr>
          <w:p w14:paraId="3B0AAB1C" w14:textId="6F54782F" w:rsidR="00444027" w:rsidRPr="0044470D" w:rsidRDefault="00444027" w:rsidP="0044470D">
            <w:r w:rsidRPr="0044470D">
              <w:t>Ägare</w:t>
            </w:r>
          </w:p>
        </w:tc>
        <w:tc>
          <w:tcPr>
            <w:tcW w:w="5965" w:type="dxa"/>
            <w:vAlign w:val="center"/>
          </w:tcPr>
          <w:p w14:paraId="23533235" w14:textId="3FEED9E6" w:rsidR="00444027" w:rsidRPr="0044470D" w:rsidRDefault="00A53DE0" w:rsidP="0044470D">
            <w:r>
              <w:t>Styrelsen</w:t>
            </w:r>
          </w:p>
        </w:tc>
      </w:tr>
      <w:tr w:rsidR="00444027" w:rsidRPr="000C4C10" w14:paraId="13B96493" w14:textId="77777777" w:rsidTr="001A6BDC">
        <w:trPr>
          <w:trHeight w:val="488"/>
        </w:trPr>
        <w:tc>
          <w:tcPr>
            <w:tcW w:w="1856" w:type="dxa"/>
            <w:vAlign w:val="center"/>
          </w:tcPr>
          <w:p w14:paraId="79873EBB" w14:textId="145B5530" w:rsidR="00444027" w:rsidRPr="0044470D" w:rsidRDefault="00444027" w:rsidP="0044470D">
            <w:r w:rsidRPr="0044470D">
              <w:t>Kontrollansvar</w:t>
            </w:r>
          </w:p>
        </w:tc>
        <w:tc>
          <w:tcPr>
            <w:tcW w:w="5965" w:type="dxa"/>
            <w:vAlign w:val="center"/>
          </w:tcPr>
          <w:p w14:paraId="547E7E20" w14:textId="0CEA01A2" w:rsidR="00444027" w:rsidRPr="0044470D" w:rsidRDefault="00965C94" w:rsidP="0044470D">
            <w:r>
              <w:t>Internrevision</w:t>
            </w:r>
          </w:p>
        </w:tc>
      </w:tr>
      <w:tr w:rsidR="00444027" w:rsidRPr="000C4C10" w14:paraId="0C697A46" w14:textId="77777777" w:rsidTr="001A6BDC">
        <w:trPr>
          <w:trHeight w:val="488"/>
        </w:trPr>
        <w:tc>
          <w:tcPr>
            <w:tcW w:w="1856" w:type="dxa"/>
            <w:vAlign w:val="center"/>
          </w:tcPr>
          <w:p w14:paraId="4A5411CD" w14:textId="44ACF3C2" w:rsidR="00444027" w:rsidRPr="0044470D" w:rsidRDefault="00444027" w:rsidP="0044470D">
            <w:r w:rsidRPr="0044470D">
              <w:t>Version</w:t>
            </w:r>
          </w:p>
        </w:tc>
        <w:tc>
          <w:tcPr>
            <w:tcW w:w="5965" w:type="dxa"/>
            <w:vAlign w:val="center"/>
          </w:tcPr>
          <w:p w14:paraId="163BBA5F" w14:textId="64529092" w:rsidR="00444027" w:rsidRPr="0044470D" w:rsidRDefault="00034401" w:rsidP="0044470D">
            <w:r w:rsidRPr="0044470D">
              <w:t>202</w:t>
            </w:r>
            <w:r w:rsidR="00FE5933">
              <w:t>4</w:t>
            </w:r>
            <w:r w:rsidR="00715A48">
              <w:t>.</w:t>
            </w:r>
            <w:r w:rsidRPr="0044470D">
              <w:t>1</w:t>
            </w:r>
          </w:p>
        </w:tc>
      </w:tr>
      <w:tr w:rsidR="00444027" w:rsidRPr="000C4C10" w14:paraId="2D9D28A8" w14:textId="77777777" w:rsidTr="001A6BDC">
        <w:trPr>
          <w:trHeight w:val="488"/>
        </w:trPr>
        <w:tc>
          <w:tcPr>
            <w:tcW w:w="1856" w:type="dxa"/>
            <w:vAlign w:val="center"/>
          </w:tcPr>
          <w:p w14:paraId="458485E7" w14:textId="7FD2FC24" w:rsidR="00444027" w:rsidRPr="0044470D" w:rsidRDefault="00444027" w:rsidP="00BD16D8">
            <w:pPr>
              <w:jc w:val="left"/>
            </w:pPr>
            <w:r w:rsidRPr="0044470D">
              <w:t>Ansvar för fastställande</w:t>
            </w:r>
          </w:p>
        </w:tc>
        <w:tc>
          <w:tcPr>
            <w:tcW w:w="5965" w:type="dxa"/>
            <w:vAlign w:val="center"/>
          </w:tcPr>
          <w:p w14:paraId="0811CAC9" w14:textId="4F1B625A" w:rsidR="00444027" w:rsidRPr="0044470D" w:rsidRDefault="00BA59D0" w:rsidP="0044470D">
            <w:r w:rsidRPr="0044470D">
              <w:t>Styrelsen</w:t>
            </w:r>
          </w:p>
        </w:tc>
      </w:tr>
      <w:tr w:rsidR="00444027" w:rsidRPr="000C4C10" w14:paraId="3AD5FA0C" w14:textId="77777777" w:rsidTr="001A6BDC">
        <w:trPr>
          <w:trHeight w:val="488"/>
        </w:trPr>
        <w:tc>
          <w:tcPr>
            <w:tcW w:w="1856" w:type="dxa"/>
            <w:vAlign w:val="center"/>
          </w:tcPr>
          <w:p w14:paraId="012D923F" w14:textId="158AD2C7" w:rsidR="00444027" w:rsidRPr="0044470D" w:rsidRDefault="00444027" w:rsidP="0044470D">
            <w:r w:rsidRPr="0044470D">
              <w:t>Fastställd</w:t>
            </w:r>
          </w:p>
        </w:tc>
        <w:tc>
          <w:tcPr>
            <w:tcW w:w="5965" w:type="dxa"/>
            <w:vAlign w:val="center"/>
          </w:tcPr>
          <w:p w14:paraId="4C502CDD" w14:textId="5E4F4022" w:rsidR="00444027" w:rsidRPr="0044470D" w:rsidRDefault="00444027" w:rsidP="0044470D">
            <w:r w:rsidRPr="0044470D">
              <w:t>202</w:t>
            </w:r>
            <w:r w:rsidR="00FE5933">
              <w:t>4</w:t>
            </w:r>
            <w:r w:rsidRPr="0044470D">
              <w:t>-</w:t>
            </w:r>
            <w:r w:rsidR="00E96A89">
              <w:t>0</w:t>
            </w:r>
            <w:r w:rsidR="00FE5933">
              <w:t>1</w:t>
            </w:r>
            <w:r>
              <w:t>-</w:t>
            </w:r>
            <w:r w:rsidR="00D82A07">
              <w:t>2</w:t>
            </w:r>
            <w:r w:rsidR="00FE5933">
              <w:t>5</w:t>
            </w:r>
          </w:p>
        </w:tc>
      </w:tr>
      <w:tr w:rsidR="00444027" w:rsidRPr="000C4C10" w14:paraId="46160984" w14:textId="77777777" w:rsidTr="001A6BDC">
        <w:trPr>
          <w:trHeight w:val="7685"/>
        </w:trPr>
        <w:tc>
          <w:tcPr>
            <w:tcW w:w="1856" w:type="dxa"/>
            <w:shd w:val="clear" w:color="auto" w:fill="auto"/>
            <w:vAlign w:val="center"/>
          </w:tcPr>
          <w:p w14:paraId="3DE6628B" w14:textId="383300C1" w:rsidR="000E6291" w:rsidRPr="0044470D" w:rsidRDefault="008B47BD" w:rsidP="00BD16D8">
            <w:pPr>
              <w:jc w:val="left"/>
            </w:pPr>
            <w:r>
              <w:t>Upprättad enligt följande</w:t>
            </w:r>
            <w:r w:rsidR="00444027" w:rsidRPr="0044470D">
              <w:t xml:space="preserve"> regelverk</w:t>
            </w:r>
          </w:p>
        </w:tc>
        <w:tc>
          <w:tcPr>
            <w:tcW w:w="5965" w:type="dxa"/>
          </w:tcPr>
          <w:p w14:paraId="01B67B5A" w14:textId="333C6877" w:rsidR="003959AD" w:rsidRDefault="003959AD" w:rsidP="00BF40DC">
            <w:r>
              <w:t>Lag (2007:528) om värdepappersmarknaden (</w:t>
            </w:r>
            <w:proofErr w:type="gramStart"/>
            <w:r w:rsidR="00B21F54">
              <w:t>bl.a.</w:t>
            </w:r>
            <w:proofErr w:type="gramEnd"/>
            <w:r w:rsidR="00B21F54">
              <w:t xml:space="preserve"> 9 kap. 10 §)</w:t>
            </w:r>
          </w:p>
          <w:p w14:paraId="4D41336A" w14:textId="77777777" w:rsidR="003959AD" w:rsidRDefault="003959AD" w:rsidP="00BF40DC"/>
          <w:p w14:paraId="2F7270AE" w14:textId="787973E6" w:rsidR="003959AD" w:rsidRDefault="003959AD" w:rsidP="00BF40DC">
            <w:r>
              <w:t>ESMA/2013/606 riktlinjer om ersättningspolicy och ersättningspraxis</w:t>
            </w:r>
          </w:p>
          <w:p w14:paraId="7254B0AC" w14:textId="77777777" w:rsidR="003959AD" w:rsidRDefault="003959AD" w:rsidP="00BF40DC"/>
          <w:p w14:paraId="60075624" w14:textId="1190D355" w:rsidR="003959AD" w:rsidRDefault="000B611B" w:rsidP="00BF40DC">
            <w:r w:rsidRPr="000B611B">
              <w:t>Kommissionens delegerade förordning (EU) 2021/923 av den 25 mars 2021 om komplettering av Europaparlamentets och rådets direktiv 2013/36/EU vad gäller tekniska standarder för tillsyn som fastställer kriterier för att identifiera ledningsansvar och kontrollfunktioner, väsentliga affärsenheter och betydande inverkan på en berörd affärsenhets riskprofil samt fastställer kriterier för att identifiera anställda eller kategorier av personal vars yrkesutövning har en inverkan på institutets riskprofil som är lika väsentlig som de anställda eller kategorier av personal som avses i artikel 92.3 i det direktivet</w:t>
            </w:r>
          </w:p>
          <w:p w14:paraId="290ECDDF" w14:textId="77777777" w:rsidR="003959AD" w:rsidRDefault="003959AD" w:rsidP="00BF40DC"/>
          <w:p w14:paraId="463C795C" w14:textId="66602B20" w:rsidR="006823C1" w:rsidRDefault="00B4574E" w:rsidP="00BF40DC">
            <w:r>
              <w:t>Finansinspektionens föreskrifter (FFFS 2017:2) om värdepappersrörelse.</w:t>
            </w:r>
          </w:p>
          <w:p w14:paraId="79A6756E" w14:textId="77777777" w:rsidR="00620FB8" w:rsidRDefault="00620FB8" w:rsidP="00BF40DC"/>
          <w:p w14:paraId="4707B4F2" w14:textId="1961097A" w:rsidR="00593018" w:rsidRPr="00E84E49" w:rsidRDefault="006221B6" w:rsidP="00BF40DC">
            <w:r>
              <w:t>Europaparlamentets och rådets direktiv</w:t>
            </w:r>
            <w:r w:rsidR="00620FB8">
              <w:t xml:space="preserve"> (EU) 2019/2034</w:t>
            </w:r>
            <w:r w:rsidR="00593018">
              <w:t xml:space="preserve"> </w:t>
            </w:r>
            <w:r w:rsidR="00620FB8">
              <w:t>av den 27 november 2019</w:t>
            </w:r>
            <w:r>
              <w:t xml:space="preserve"> </w:t>
            </w:r>
            <w:r w:rsidR="00620FB8">
              <w:t>om tillsyn av värdepappersföretag</w:t>
            </w:r>
          </w:p>
          <w:p w14:paraId="0BB89174" w14:textId="77777777" w:rsidR="00620FB8" w:rsidRDefault="00620FB8" w:rsidP="00BF40DC"/>
          <w:p w14:paraId="4A5F5393" w14:textId="09090535" w:rsidR="00C45107" w:rsidRPr="00E84E49" w:rsidRDefault="00C45107" w:rsidP="00BF40DC">
            <w:r>
              <w:t>Europaparlamentets och rådets förordning (EU) 2019/2033 av den 27 november 2019 om tillsynskrav för värdepappersföretag</w:t>
            </w:r>
          </w:p>
        </w:tc>
      </w:tr>
    </w:tbl>
    <w:p w14:paraId="0C6DE14F" w14:textId="46ECDC51" w:rsidR="00141984" w:rsidRDefault="00141984" w:rsidP="0044470D"/>
    <w:p w14:paraId="0D9FFC2E" w14:textId="7658FE03" w:rsidR="00631D5A" w:rsidRDefault="00631D5A">
      <w:pPr>
        <w:spacing w:after="160" w:line="259" w:lineRule="auto"/>
        <w:jc w:val="left"/>
      </w:pPr>
      <w:r>
        <w:br w:type="page"/>
      </w:r>
    </w:p>
    <w:p w14:paraId="3B10F0C1" w14:textId="76EBE756" w:rsidR="00141984" w:rsidRDefault="00141984" w:rsidP="00141984">
      <w:r>
        <w:lastRenderedPageBreak/>
        <w:t>Innehållsförteckning</w:t>
      </w:r>
    </w:p>
    <w:p w14:paraId="5316D796" w14:textId="77777777" w:rsidR="00141984" w:rsidRDefault="00141984" w:rsidP="00141984"/>
    <w:p w14:paraId="3047DE98" w14:textId="5DD914D3" w:rsidR="00851F32" w:rsidRDefault="00141984">
      <w:pPr>
        <w:pStyle w:val="Innehll1"/>
        <w:rPr>
          <w:rFonts w:asciiTheme="minorHAnsi" w:eastAsiaTheme="minorEastAsia" w:hAnsiTheme="minorHAnsi"/>
          <w:noProof/>
          <w:sz w:val="22"/>
          <w:szCs w:val="22"/>
          <w:lang w:eastAsia="sv-SE"/>
        </w:rPr>
      </w:pPr>
      <w:r>
        <w:fldChar w:fldCharType="begin"/>
      </w:r>
      <w:r>
        <w:instrText xml:space="preserve"> TOC \o "1-3" \h \z \u </w:instrText>
      </w:r>
      <w:r>
        <w:fldChar w:fldCharType="separate"/>
      </w:r>
      <w:hyperlink w:anchor="_Toc90642838" w:history="1">
        <w:r w:rsidR="00851F32" w:rsidRPr="0011475D">
          <w:rPr>
            <w:rStyle w:val="Hyperlnk"/>
            <w:noProof/>
            <w14:scene3d>
              <w14:camera w14:prst="orthographicFront"/>
              <w14:lightRig w14:rig="threePt" w14:dir="t">
                <w14:rot w14:lat="0" w14:lon="0" w14:rev="0"/>
              </w14:lightRig>
            </w14:scene3d>
          </w:rPr>
          <w:t>1</w:t>
        </w:r>
        <w:r w:rsidR="00851F32">
          <w:rPr>
            <w:rFonts w:asciiTheme="minorHAnsi" w:eastAsiaTheme="minorEastAsia" w:hAnsiTheme="minorHAnsi"/>
            <w:noProof/>
            <w:sz w:val="22"/>
            <w:szCs w:val="22"/>
            <w:lang w:eastAsia="sv-SE"/>
          </w:rPr>
          <w:tab/>
        </w:r>
        <w:r w:rsidR="00851F32" w:rsidRPr="0011475D">
          <w:rPr>
            <w:rStyle w:val="Hyperlnk"/>
            <w:noProof/>
          </w:rPr>
          <w:t>Inledning</w:t>
        </w:r>
        <w:r w:rsidR="00851F32">
          <w:rPr>
            <w:noProof/>
            <w:webHidden/>
          </w:rPr>
          <w:tab/>
        </w:r>
        <w:r w:rsidR="00851F32">
          <w:rPr>
            <w:noProof/>
            <w:webHidden/>
          </w:rPr>
          <w:fldChar w:fldCharType="begin"/>
        </w:r>
        <w:r w:rsidR="00851F32">
          <w:rPr>
            <w:noProof/>
            <w:webHidden/>
          </w:rPr>
          <w:instrText xml:space="preserve"> PAGEREF _Toc90642838 \h </w:instrText>
        </w:r>
        <w:r w:rsidR="00851F32">
          <w:rPr>
            <w:noProof/>
            <w:webHidden/>
          </w:rPr>
        </w:r>
        <w:r w:rsidR="00851F32">
          <w:rPr>
            <w:noProof/>
            <w:webHidden/>
          </w:rPr>
          <w:fldChar w:fldCharType="separate"/>
        </w:r>
        <w:r w:rsidR="00851F32">
          <w:rPr>
            <w:noProof/>
            <w:webHidden/>
          </w:rPr>
          <w:t>3</w:t>
        </w:r>
        <w:r w:rsidR="00851F32">
          <w:rPr>
            <w:noProof/>
            <w:webHidden/>
          </w:rPr>
          <w:fldChar w:fldCharType="end"/>
        </w:r>
      </w:hyperlink>
    </w:p>
    <w:p w14:paraId="5033306E" w14:textId="360176EF" w:rsidR="00851F32" w:rsidRDefault="00680FB7">
      <w:pPr>
        <w:pStyle w:val="Innehll1"/>
        <w:rPr>
          <w:rFonts w:asciiTheme="minorHAnsi" w:eastAsiaTheme="minorEastAsia" w:hAnsiTheme="minorHAnsi"/>
          <w:noProof/>
          <w:sz w:val="22"/>
          <w:szCs w:val="22"/>
          <w:lang w:eastAsia="sv-SE"/>
        </w:rPr>
      </w:pPr>
      <w:hyperlink w:anchor="_Toc90642839" w:history="1">
        <w:r w:rsidR="00851F32" w:rsidRPr="0011475D">
          <w:rPr>
            <w:rStyle w:val="Hyperlnk"/>
            <w:noProof/>
            <w14:scene3d>
              <w14:camera w14:prst="orthographicFront"/>
              <w14:lightRig w14:rig="threePt" w14:dir="t">
                <w14:rot w14:lat="0" w14:lon="0" w14:rev="0"/>
              </w14:lightRig>
            </w14:scene3d>
          </w:rPr>
          <w:t>2</w:t>
        </w:r>
        <w:r w:rsidR="00851F32">
          <w:rPr>
            <w:rFonts w:asciiTheme="minorHAnsi" w:eastAsiaTheme="minorEastAsia" w:hAnsiTheme="minorHAnsi"/>
            <w:noProof/>
            <w:sz w:val="22"/>
            <w:szCs w:val="22"/>
            <w:lang w:eastAsia="sv-SE"/>
          </w:rPr>
          <w:tab/>
        </w:r>
        <w:r w:rsidR="00851F32" w:rsidRPr="0011475D">
          <w:rPr>
            <w:rStyle w:val="Hyperlnk"/>
            <w:noProof/>
          </w:rPr>
          <w:t>Syfte</w:t>
        </w:r>
        <w:r w:rsidR="00851F32">
          <w:rPr>
            <w:noProof/>
            <w:webHidden/>
          </w:rPr>
          <w:tab/>
        </w:r>
        <w:r w:rsidR="00851F32">
          <w:rPr>
            <w:noProof/>
            <w:webHidden/>
          </w:rPr>
          <w:fldChar w:fldCharType="begin"/>
        </w:r>
        <w:r w:rsidR="00851F32">
          <w:rPr>
            <w:noProof/>
            <w:webHidden/>
          </w:rPr>
          <w:instrText xml:space="preserve"> PAGEREF _Toc90642839 \h </w:instrText>
        </w:r>
        <w:r w:rsidR="00851F32">
          <w:rPr>
            <w:noProof/>
            <w:webHidden/>
          </w:rPr>
        </w:r>
        <w:r w:rsidR="00851F32">
          <w:rPr>
            <w:noProof/>
            <w:webHidden/>
          </w:rPr>
          <w:fldChar w:fldCharType="separate"/>
        </w:r>
        <w:r w:rsidR="00851F32">
          <w:rPr>
            <w:noProof/>
            <w:webHidden/>
          </w:rPr>
          <w:t>3</w:t>
        </w:r>
        <w:r w:rsidR="00851F32">
          <w:rPr>
            <w:noProof/>
            <w:webHidden/>
          </w:rPr>
          <w:fldChar w:fldCharType="end"/>
        </w:r>
      </w:hyperlink>
    </w:p>
    <w:p w14:paraId="56D5DA2E" w14:textId="3B205B24" w:rsidR="00851F32" w:rsidRDefault="00680FB7">
      <w:pPr>
        <w:pStyle w:val="Innehll1"/>
        <w:rPr>
          <w:rFonts w:asciiTheme="minorHAnsi" w:eastAsiaTheme="minorEastAsia" w:hAnsiTheme="minorHAnsi"/>
          <w:noProof/>
          <w:sz w:val="22"/>
          <w:szCs w:val="22"/>
          <w:lang w:eastAsia="sv-SE"/>
        </w:rPr>
      </w:pPr>
      <w:hyperlink w:anchor="_Toc90642840" w:history="1">
        <w:r w:rsidR="00851F32" w:rsidRPr="0011475D">
          <w:rPr>
            <w:rStyle w:val="Hyperlnk"/>
            <w:noProof/>
            <w14:scene3d>
              <w14:camera w14:prst="orthographicFront"/>
              <w14:lightRig w14:rig="threePt" w14:dir="t">
                <w14:rot w14:lat="0" w14:lon="0" w14:rev="0"/>
              </w14:lightRig>
            </w14:scene3d>
          </w:rPr>
          <w:t>3</w:t>
        </w:r>
        <w:r w:rsidR="00851F32">
          <w:rPr>
            <w:rFonts w:asciiTheme="minorHAnsi" w:eastAsiaTheme="minorEastAsia" w:hAnsiTheme="minorHAnsi"/>
            <w:noProof/>
            <w:sz w:val="22"/>
            <w:szCs w:val="22"/>
            <w:lang w:eastAsia="sv-SE"/>
          </w:rPr>
          <w:tab/>
        </w:r>
        <w:r w:rsidR="00851F32" w:rsidRPr="0011475D">
          <w:rPr>
            <w:rStyle w:val="Hyperlnk"/>
            <w:noProof/>
          </w:rPr>
          <w:t>Definitioner</w:t>
        </w:r>
        <w:r w:rsidR="00851F32">
          <w:rPr>
            <w:noProof/>
            <w:webHidden/>
          </w:rPr>
          <w:tab/>
        </w:r>
        <w:r w:rsidR="00851F32">
          <w:rPr>
            <w:noProof/>
            <w:webHidden/>
          </w:rPr>
          <w:fldChar w:fldCharType="begin"/>
        </w:r>
        <w:r w:rsidR="00851F32">
          <w:rPr>
            <w:noProof/>
            <w:webHidden/>
          </w:rPr>
          <w:instrText xml:space="preserve"> PAGEREF _Toc90642840 \h </w:instrText>
        </w:r>
        <w:r w:rsidR="00851F32">
          <w:rPr>
            <w:noProof/>
            <w:webHidden/>
          </w:rPr>
        </w:r>
        <w:r w:rsidR="00851F32">
          <w:rPr>
            <w:noProof/>
            <w:webHidden/>
          </w:rPr>
          <w:fldChar w:fldCharType="separate"/>
        </w:r>
        <w:r w:rsidR="00851F32">
          <w:rPr>
            <w:noProof/>
            <w:webHidden/>
          </w:rPr>
          <w:t>3</w:t>
        </w:r>
        <w:r w:rsidR="00851F32">
          <w:rPr>
            <w:noProof/>
            <w:webHidden/>
          </w:rPr>
          <w:fldChar w:fldCharType="end"/>
        </w:r>
      </w:hyperlink>
    </w:p>
    <w:p w14:paraId="651FF7F7" w14:textId="18FB0229" w:rsidR="00851F32" w:rsidRDefault="00680FB7">
      <w:pPr>
        <w:pStyle w:val="Innehll1"/>
        <w:rPr>
          <w:rFonts w:asciiTheme="minorHAnsi" w:eastAsiaTheme="minorEastAsia" w:hAnsiTheme="minorHAnsi"/>
          <w:noProof/>
          <w:sz w:val="22"/>
          <w:szCs w:val="22"/>
          <w:lang w:eastAsia="sv-SE"/>
        </w:rPr>
      </w:pPr>
      <w:hyperlink w:anchor="_Toc90642843" w:history="1">
        <w:r w:rsidR="00851F32" w:rsidRPr="0011475D">
          <w:rPr>
            <w:rStyle w:val="Hyperlnk"/>
            <w:noProof/>
            <w14:scene3d>
              <w14:camera w14:prst="orthographicFront"/>
              <w14:lightRig w14:rig="threePt" w14:dir="t">
                <w14:rot w14:lat="0" w14:lon="0" w14:rev="0"/>
              </w14:lightRig>
            </w14:scene3d>
          </w:rPr>
          <w:t>4</w:t>
        </w:r>
        <w:r w:rsidR="00851F32">
          <w:rPr>
            <w:rFonts w:asciiTheme="minorHAnsi" w:eastAsiaTheme="minorEastAsia" w:hAnsiTheme="minorHAnsi"/>
            <w:noProof/>
            <w:sz w:val="22"/>
            <w:szCs w:val="22"/>
            <w:lang w:eastAsia="sv-SE"/>
          </w:rPr>
          <w:tab/>
        </w:r>
        <w:r w:rsidR="00851F32" w:rsidRPr="0011475D">
          <w:rPr>
            <w:rStyle w:val="Hyperlnk"/>
            <w:noProof/>
          </w:rPr>
          <w:t>Ersättningsformer</w:t>
        </w:r>
        <w:r w:rsidR="00851F32">
          <w:rPr>
            <w:noProof/>
            <w:webHidden/>
          </w:rPr>
          <w:tab/>
        </w:r>
        <w:r w:rsidR="00851F32">
          <w:rPr>
            <w:noProof/>
            <w:webHidden/>
          </w:rPr>
          <w:fldChar w:fldCharType="begin"/>
        </w:r>
        <w:r w:rsidR="00851F32">
          <w:rPr>
            <w:noProof/>
            <w:webHidden/>
          </w:rPr>
          <w:instrText xml:space="preserve"> PAGEREF _Toc90642843 \h </w:instrText>
        </w:r>
        <w:r w:rsidR="00851F32">
          <w:rPr>
            <w:noProof/>
            <w:webHidden/>
          </w:rPr>
        </w:r>
        <w:r w:rsidR="00851F32">
          <w:rPr>
            <w:noProof/>
            <w:webHidden/>
          </w:rPr>
          <w:fldChar w:fldCharType="separate"/>
        </w:r>
        <w:r w:rsidR="00851F32">
          <w:rPr>
            <w:noProof/>
            <w:webHidden/>
          </w:rPr>
          <w:t>4</w:t>
        </w:r>
        <w:r w:rsidR="00851F32">
          <w:rPr>
            <w:noProof/>
            <w:webHidden/>
          </w:rPr>
          <w:fldChar w:fldCharType="end"/>
        </w:r>
      </w:hyperlink>
    </w:p>
    <w:p w14:paraId="1678B618" w14:textId="7BBCE6CD" w:rsidR="00851F32" w:rsidRDefault="00680FB7">
      <w:pPr>
        <w:pStyle w:val="Innehll1"/>
        <w:rPr>
          <w:rFonts w:asciiTheme="minorHAnsi" w:eastAsiaTheme="minorEastAsia" w:hAnsiTheme="minorHAnsi"/>
          <w:noProof/>
          <w:sz w:val="22"/>
          <w:szCs w:val="22"/>
          <w:lang w:eastAsia="sv-SE"/>
        </w:rPr>
      </w:pPr>
      <w:hyperlink w:anchor="_Toc90642844" w:history="1">
        <w:r w:rsidR="00851F32" w:rsidRPr="0011475D">
          <w:rPr>
            <w:rStyle w:val="Hyperlnk"/>
            <w:noProof/>
            <w14:scene3d>
              <w14:camera w14:prst="orthographicFront"/>
              <w14:lightRig w14:rig="threePt" w14:dir="t">
                <w14:rot w14:lat="0" w14:lon="0" w14:rev="0"/>
              </w14:lightRig>
            </w14:scene3d>
          </w:rPr>
          <w:t>5</w:t>
        </w:r>
        <w:r w:rsidR="00851F32">
          <w:rPr>
            <w:rFonts w:asciiTheme="minorHAnsi" w:eastAsiaTheme="minorEastAsia" w:hAnsiTheme="minorHAnsi"/>
            <w:noProof/>
            <w:sz w:val="22"/>
            <w:szCs w:val="22"/>
            <w:lang w:eastAsia="sv-SE"/>
          </w:rPr>
          <w:tab/>
        </w:r>
        <w:r w:rsidR="00851F32" w:rsidRPr="0011475D">
          <w:rPr>
            <w:rStyle w:val="Hyperlnk"/>
            <w:noProof/>
          </w:rPr>
          <w:t>Beslutsprocessen</w:t>
        </w:r>
        <w:r w:rsidR="00851F32">
          <w:rPr>
            <w:noProof/>
            <w:webHidden/>
          </w:rPr>
          <w:tab/>
        </w:r>
        <w:r w:rsidR="00851F32">
          <w:rPr>
            <w:noProof/>
            <w:webHidden/>
          </w:rPr>
          <w:fldChar w:fldCharType="begin"/>
        </w:r>
        <w:r w:rsidR="00851F32">
          <w:rPr>
            <w:noProof/>
            <w:webHidden/>
          </w:rPr>
          <w:instrText xml:space="preserve"> PAGEREF _Toc90642844 \h </w:instrText>
        </w:r>
        <w:r w:rsidR="00851F32">
          <w:rPr>
            <w:noProof/>
            <w:webHidden/>
          </w:rPr>
        </w:r>
        <w:r w:rsidR="00851F32">
          <w:rPr>
            <w:noProof/>
            <w:webHidden/>
          </w:rPr>
          <w:fldChar w:fldCharType="separate"/>
        </w:r>
        <w:r w:rsidR="00851F32">
          <w:rPr>
            <w:noProof/>
            <w:webHidden/>
          </w:rPr>
          <w:t>5</w:t>
        </w:r>
        <w:r w:rsidR="00851F32">
          <w:rPr>
            <w:noProof/>
            <w:webHidden/>
          </w:rPr>
          <w:fldChar w:fldCharType="end"/>
        </w:r>
      </w:hyperlink>
    </w:p>
    <w:p w14:paraId="2FEE77C2" w14:textId="38AE57B8" w:rsidR="00851F32" w:rsidRDefault="00680FB7">
      <w:pPr>
        <w:pStyle w:val="Innehll1"/>
        <w:rPr>
          <w:rFonts w:asciiTheme="minorHAnsi" w:eastAsiaTheme="minorEastAsia" w:hAnsiTheme="minorHAnsi"/>
          <w:noProof/>
          <w:sz w:val="22"/>
          <w:szCs w:val="22"/>
          <w:lang w:eastAsia="sv-SE"/>
        </w:rPr>
      </w:pPr>
      <w:hyperlink w:anchor="_Toc90642845" w:history="1">
        <w:r w:rsidR="00851F32" w:rsidRPr="0011475D">
          <w:rPr>
            <w:rStyle w:val="Hyperlnk"/>
            <w:noProof/>
            <w14:scene3d>
              <w14:camera w14:prst="orthographicFront"/>
              <w14:lightRig w14:rig="threePt" w14:dir="t">
                <w14:rot w14:lat="0" w14:lon="0" w14:rev="0"/>
              </w14:lightRig>
            </w14:scene3d>
          </w:rPr>
          <w:t>6</w:t>
        </w:r>
        <w:r w:rsidR="00851F32">
          <w:rPr>
            <w:rFonts w:asciiTheme="minorHAnsi" w:eastAsiaTheme="minorEastAsia" w:hAnsiTheme="minorHAnsi"/>
            <w:noProof/>
            <w:sz w:val="22"/>
            <w:szCs w:val="22"/>
            <w:lang w:eastAsia="sv-SE"/>
          </w:rPr>
          <w:tab/>
        </w:r>
        <w:r w:rsidR="00851F32" w:rsidRPr="0011475D">
          <w:rPr>
            <w:rStyle w:val="Hyperlnk"/>
            <w:noProof/>
          </w:rPr>
          <w:t>Förbud mot vissa ersättningsformer</w:t>
        </w:r>
        <w:r w:rsidR="00851F32">
          <w:rPr>
            <w:noProof/>
            <w:webHidden/>
          </w:rPr>
          <w:tab/>
        </w:r>
        <w:r w:rsidR="00851F32">
          <w:rPr>
            <w:noProof/>
            <w:webHidden/>
          </w:rPr>
          <w:fldChar w:fldCharType="begin"/>
        </w:r>
        <w:r w:rsidR="00851F32">
          <w:rPr>
            <w:noProof/>
            <w:webHidden/>
          </w:rPr>
          <w:instrText xml:space="preserve"> PAGEREF _Toc90642845 \h </w:instrText>
        </w:r>
        <w:r w:rsidR="00851F32">
          <w:rPr>
            <w:noProof/>
            <w:webHidden/>
          </w:rPr>
        </w:r>
        <w:r w:rsidR="00851F32">
          <w:rPr>
            <w:noProof/>
            <w:webHidden/>
          </w:rPr>
          <w:fldChar w:fldCharType="separate"/>
        </w:r>
        <w:r w:rsidR="00851F32">
          <w:rPr>
            <w:noProof/>
            <w:webHidden/>
          </w:rPr>
          <w:t>5</w:t>
        </w:r>
        <w:r w:rsidR="00851F32">
          <w:rPr>
            <w:noProof/>
            <w:webHidden/>
          </w:rPr>
          <w:fldChar w:fldCharType="end"/>
        </w:r>
      </w:hyperlink>
    </w:p>
    <w:p w14:paraId="6A751A6D" w14:textId="1146E3E9" w:rsidR="00851F32" w:rsidRDefault="00680FB7">
      <w:pPr>
        <w:pStyle w:val="Innehll1"/>
        <w:rPr>
          <w:rFonts w:asciiTheme="minorHAnsi" w:eastAsiaTheme="minorEastAsia" w:hAnsiTheme="minorHAnsi"/>
          <w:noProof/>
          <w:sz w:val="22"/>
          <w:szCs w:val="22"/>
          <w:lang w:eastAsia="sv-SE"/>
        </w:rPr>
      </w:pPr>
      <w:hyperlink w:anchor="_Toc90642846" w:history="1">
        <w:r w:rsidR="00851F32" w:rsidRPr="0011475D">
          <w:rPr>
            <w:rStyle w:val="Hyperlnk"/>
            <w:noProof/>
            <w14:scene3d>
              <w14:camera w14:prst="orthographicFront"/>
              <w14:lightRig w14:rig="threePt" w14:dir="t">
                <w14:rot w14:lat="0" w14:lon="0" w14:rev="0"/>
              </w14:lightRig>
            </w14:scene3d>
          </w:rPr>
          <w:t>7</w:t>
        </w:r>
        <w:r w:rsidR="00851F32">
          <w:rPr>
            <w:rFonts w:asciiTheme="minorHAnsi" w:eastAsiaTheme="minorEastAsia" w:hAnsiTheme="minorHAnsi"/>
            <w:noProof/>
            <w:sz w:val="22"/>
            <w:szCs w:val="22"/>
            <w:lang w:eastAsia="sv-SE"/>
          </w:rPr>
          <w:tab/>
        </w:r>
        <w:r w:rsidR="00851F32" w:rsidRPr="0011475D">
          <w:rPr>
            <w:rStyle w:val="Hyperlnk"/>
            <w:noProof/>
          </w:rPr>
          <w:t>Omfattning och allmänna ersättningsprinciper</w:t>
        </w:r>
        <w:r w:rsidR="00851F32">
          <w:rPr>
            <w:noProof/>
            <w:webHidden/>
          </w:rPr>
          <w:tab/>
        </w:r>
        <w:r w:rsidR="00851F32">
          <w:rPr>
            <w:noProof/>
            <w:webHidden/>
          </w:rPr>
          <w:fldChar w:fldCharType="begin"/>
        </w:r>
        <w:r w:rsidR="00851F32">
          <w:rPr>
            <w:noProof/>
            <w:webHidden/>
          </w:rPr>
          <w:instrText xml:space="preserve"> PAGEREF _Toc90642846 \h </w:instrText>
        </w:r>
        <w:r w:rsidR="00851F32">
          <w:rPr>
            <w:noProof/>
            <w:webHidden/>
          </w:rPr>
        </w:r>
        <w:r w:rsidR="00851F32">
          <w:rPr>
            <w:noProof/>
            <w:webHidden/>
          </w:rPr>
          <w:fldChar w:fldCharType="separate"/>
        </w:r>
        <w:r w:rsidR="00851F32">
          <w:rPr>
            <w:noProof/>
            <w:webHidden/>
          </w:rPr>
          <w:t>5</w:t>
        </w:r>
        <w:r w:rsidR="00851F32">
          <w:rPr>
            <w:noProof/>
            <w:webHidden/>
          </w:rPr>
          <w:fldChar w:fldCharType="end"/>
        </w:r>
      </w:hyperlink>
    </w:p>
    <w:p w14:paraId="2983B658" w14:textId="2D7CCDAB" w:rsidR="00851F32" w:rsidRDefault="00680FB7">
      <w:pPr>
        <w:pStyle w:val="Innehll1"/>
        <w:rPr>
          <w:rFonts w:asciiTheme="minorHAnsi" w:eastAsiaTheme="minorEastAsia" w:hAnsiTheme="minorHAnsi"/>
          <w:noProof/>
          <w:sz w:val="22"/>
          <w:szCs w:val="22"/>
          <w:lang w:eastAsia="sv-SE"/>
        </w:rPr>
      </w:pPr>
      <w:hyperlink w:anchor="_Toc90642847" w:history="1">
        <w:r w:rsidR="00851F32" w:rsidRPr="0011475D">
          <w:rPr>
            <w:rStyle w:val="Hyperlnk"/>
            <w:noProof/>
            <w14:scene3d>
              <w14:camera w14:prst="orthographicFront"/>
              <w14:lightRig w14:rig="threePt" w14:dir="t">
                <w14:rot w14:lat="0" w14:lon="0" w14:rev="0"/>
              </w14:lightRig>
            </w14:scene3d>
          </w:rPr>
          <w:t>8</w:t>
        </w:r>
        <w:r w:rsidR="00851F32">
          <w:rPr>
            <w:rFonts w:asciiTheme="minorHAnsi" w:eastAsiaTheme="minorEastAsia" w:hAnsiTheme="minorHAnsi"/>
            <w:noProof/>
            <w:sz w:val="22"/>
            <w:szCs w:val="22"/>
            <w:lang w:eastAsia="sv-SE"/>
          </w:rPr>
          <w:tab/>
        </w:r>
        <w:r w:rsidR="00851F32" w:rsidRPr="0011475D">
          <w:rPr>
            <w:rStyle w:val="Hyperlnk"/>
            <w:noProof/>
          </w:rPr>
          <w:t>Bortfall av rörlig ersättning</w:t>
        </w:r>
        <w:r w:rsidR="00851F32">
          <w:rPr>
            <w:noProof/>
            <w:webHidden/>
          </w:rPr>
          <w:tab/>
        </w:r>
        <w:r w:rsidR="00851F32">
          <w:rPr>
            <w:noProof/>
            <w:webHidden/>
          </w:rPr>
          <w:fldChar w:fldCharType="begin"/>
        </w:r>
        <w:r w:rsidR="00851F32">
          <w:rPr>
            <w:noProof/>
            <w:webHidden/>
          </w:rPr>
          <w:instrText xml:space="preserve"> PAGEREF _Toc90642847 \h </w:instrText>
        </w:r>
        <w:r w:rsidR="00851F32">
          <w:rPr>
            <w:noProof/>
            <w:webHidden/>
          </w:rPr>
        </w:r>
        <w:r w:rsidR="00851F32">
          <w:rPr>
            <w:noProof/>
            <w:webHidden/>
          </w:rPr>
          <w:fldChar w:fldCharType="separate"/>
        </w:r>
        <w:r w:rsidR="00851F32">
          <w:rPr>
            <w:noProof/>
            <w:webHidden/>
          </w:rPr>
          <w:t>8</w:t>
        </w:r>
        <w:r w:rsidR="00851F32">
          <w:rPr>
            <w:noProof/>
            <w:webHidden/>
          </w:rPr>
          <w:fldChar w:fldCharType="end"/>
        </w:r>
      </w:hyperlink>
    </w:p>
    <w:p w14:paraId="3CF71347" w14:textId="4795DF72" w:rsidR="00851F32" w:rsidRDefault="00680FB7">
      <w:pPr>
        <w:pStyle w:val="Innehll1"/>
        <w:rPr>
          <w:rFonts w:asciiTheme="minorHAnsi" w:eastAsiaTheme="minorEastAsia" w:hAnsiTheme="minorHAnsi"/>
          <w:noProof/>
          <w:sz w:val="22"/>
          <w:szCs w:val="22"/>
          <w:lang w:eastAsia="sv-SE"/>
        </w:rPr>
      </w:pPr>
      <w:hyperlink w:anchor="_Toc90642848" w:history="1">
        <w:r w:rsidR="00851F32" w:rsidRPr="0011475D">
          <w:rPr>
            <w:rStyle w:val="Hyperlnk"/>
            <w:noProof/>
            <w14:scene3d>
              <w14:camera w14:prst="orthographicFront"/>
              <w14:lightRig w14:rig="threePt" w14:dir="t">
                <w14:rot w14:lat="0" w14:lon="0" w14:rev="0"/>
              </w14:lightRig>
            </w14:scene3d>
          </w:rPr>
          <w:t>9</w:t>
        </w:r>
        <w:r w:rsidR="00851F32">
          <w:rPr>
            <w:rFonts w:asciiTheme="minorHAnsi" w:eastAsiaTheme="minorEastAsia" w:hAnsiTheme="minorHAnsi"/>
            <w:noProof/>
            <w:sz w:val="22"/>
            <w:szCs w:val="22"/>
            <w:lang w:eastAsia="sv-SE"/>
          </w:rPr>
          <w:tab/>
        </w:r>
        <w:r w:rsidR="00851F32" w:rsidRPr="0011475D">
          <w:rPr>
            <w:rStyle w:val="Hyperlnk"/>
            <w:noProof/>
          </w:rPr>
          <w:t>Uppföljning och kontroll</w:t>
        </w:r>
        <w:r w:rsidR="00851F32">
          <w:rPr>
            <w:noProof/>
            <w:webHidden/>
          </w:rPr>
          <w:tab/>
        </w:r>
        <w:r w:rsidR="00851F32">
          <w:rPr>
            <w:noProof/>
            <w:webHidden/>
          </w:rPr>
          <w:fldChar w:fldCharType="begin"/>
        </w:r>
        <w:r w:rsidR="00851F32">
          <w:rPr>
            <w:noProof/>
            <w:webHidden/>
          </w:rPr>
          <w:instrText xml:space="preserve"> PAGEREF _Toc90642848 \h </w:instrText>
        </w:r>
        <w:r w:rsidR="00851F32">
          <w:rPr>
            <w:noProof/>
            <w:webHidden/>
          </w:rPr>
        </w:r>
        <w:r w:rsidR="00851F32">
          <w:rPr>
            <w:noProof/>
            <w:webHidden/>
          </w:rPr>
          <w:fldChar w:fldCharType="separate"/>
        </w:r>
        <w:r w:rsidR="00851F32">
          <w:rPr>
            <w:noProof/>
            <w:webHidden/>
          </w:rPr>
          <w:t>8</w:t>
        </w:r>
        <w:r w:rsidR="00851F32">
          <w:rPr>
            <w:noProof/>
            <w:webHidden/>
          </w:rPr>
          <w:fldChar w:fldCharType="end"/>
        </w:r>
      </w:hyperlink>
    </w:p>
    <w:p w14:paraId="6DAB654E" w14:textId="77DEA648" w:rsidR="00851F32" w:rsidRDefault="00680FB7">
      <w:pPr>
        <w:pStyle w:val="Innehll1"/>
        <w:rPr>
          <w:rFonts w:asciiTheme="minorHAnsi" w:eastAsiaTheme="minorEastAsia" w:hAnsiTheme="minorHAnsi"/>
          <w:noProof/>
          <w:sz w:val="22"/>
          <w:szCs w:val="22"/>
          <w:lang w:eastAsia="sv-SE"/>
        </w:rPr>
      </w:pPr>
      <w:hyperlink w:anchor="_Toc90642849" w:history="1">
        <w:r w:rsidR="00851F32" w:rsidRPr="0011475D">
          <w:rPr>
            <w:rStyle w:val="Hyperlnk"/>
            <w:noProof/>
            <w14:scene3d>
              <w14:camera w14:prst="orthographicFront"/>
              <w14:lightRig w14:rig="threePt" w14:dir="t">
                <w14:rot w14:lat="0" w14:lon="0" w14:rev="0"/>
              </w14:lightRig>
            </w14:scene3d>
          </w:rPr>
          <w:t>10</w:t>
        </w:r>
        <w:r w:rsidR="00851F32">
          <w:rPr>
            <w:rFonts w:asciiTheme="minorHAnsi" w:eastAsiaTheme="minorEastAsia" w:hAnsiTheme="minorHAnsi"/>
            <w:noProof/>
            <w:sz w:val="22"/>
            <w:szCs w:val="22"/>
            <w:lang w:eastAsia="sv-SE"/>
          </w:rPr>
          <w:tab/>
        </w:r>
        <w:r w:rsidR="00851F32" w:rsidRPr="0011475D">
          <w:rPr>
            <w:rStyle w:val="Hyperlnk"/>
            <w:noProof/>
          </w:rPr>
          <w:t>Information till anställda</w:t>
        </w:r>
        <w:r w:rsidR="00851F32">
          <w:rPr>
            <w:noProof/>
            <w:webHidden/>
          </w:rPr>
          <w:tab/>
        </w:r>
        <w:r w:rsidR="00851F32">
          <w:rPr>
            <w:noProof/>
            <w:webHidden/>
          </w:rPr>
          <w:fldChar w:fldCharType="begin"/>
        </w:r>
        <w:r w:rsidR="00851F32">
          <w:rPr>
            <w:noProof/>
            <w:webHidden/>
          </w:rPr>
          <w:instrText xml:space="preserve"> PAGEREF _Toc90642849 \h </w:instrText>
        </w:r>
        <w:r w:rsidR="00851F32">
          <w:rPr>
            <w:noProof/>
            <w:webHidden/>
          </w:rPr>
        </w:r>
        <w:r w:rsidR="00851F32">
          <w:rPr>
            <w:noProof/>
            <w:webHidden/>
          </w:rPr>
          <w:fldChar w:fldCharType="separate"/>
        </w:r>
        <w:r w:rsidR="00851F32">
          <w:rPr>
            <w:noProof/>
            <w:webHidden/>
          </w:rPr>
          <w:t>8</w:t>
        </w:r>
        <w:r w:rsidR="00851F32">
          <w:rPr>
            <w:noProof/>
            <w:webHidden/>
          </w:rPr>
          <w:fldChar w:fldCharType="end"/>
        </w:r>
      </w:hyperlink>
    </w:p>
    <w:p w14:paraId="14D8750C" w14:textId="77777777" w:rsidR="00D82A07" w:rsidRDefault="00141984">
      <w:pPr>
        <w:jc w:val="left"/>
        <w:sectPr w:rsidR="00D82A07" w:rsidSect="00E3410C">
          <w:headerReference w:type="default" r:id="rId11"/>
          <w:footerReference w:type="default" r:id="rId12"/>
          <w:pgSz w:w="11906" w:h="16838"/>
          <w:pgMar w:top="1843" w:right="1417" w:bottom="1418" w:left="1417" w:header="708" w:footer="708" w:gutter="0"/>
          <w:cols w:space="708"/>
          <w:docGrid w:linePitch="360"/>
        </w:sectPr>
      </w:pPr>
      <w:r>
        <w:fldChar w:fldCharType="end"/>
      </w:r>
    </w:p>
    <w:p w14:paraId="372E576D" w14:textId="68068E60" w:rsidR="00141984" w:rsidRDefault="00141984">
      <w:pPr>
        <w:jc w:val="left"/>
      </w:pPr>
    </w:p>
    <w:p w14:paraId="586F12BF" w14:textId="50DC327E" w:rsidR="0015100A" w:rsidRPr="00B707CD" w:rsidRDefault="0015100A" w:rsidP="00AA1219">
      <w:pPr>
        <w:pStyle w:val="Rubrik1"/>
      </w:pPr>
      <w:bookmarkStart w:id="0" w:name="_Toc90642838"/>
      <w:r w:rsidRPr="0015100A">
        <w:t>Inledning</w:t>
      </w:r>
      <w:bookmarkEnd w:id="0"/>
    </w:p>
    <w:p w14:paraId="14CE0DCC" w14:textId="560632E4" w:rsidR="00E13066" w:rsidRDefault="004874AE">
      <w:pPr>
        <w:rPr>
          <w:lang w:eastAsia="sv-SE"/>
        </w:rPr>
      </w:pPr>
      <w:r>
        <w:rPr>
          <w:lang w:eastAsia="sv-SE"/>
        </w:rPr>
        <w:t>Spotlight Stock Market</w:t>
      </w:r>
      <w:r w:rsidR="00C77E14">
        <w:rPr>
          <w:lang w:eastAsia="sv-SE"/>
        </w:rPr>
        <w:t xml:space="preserve"> AB</w:t>
      </w:r>
      <w:r w:rsidR="00951552">
        <w:rPr>
          <w:lang w:eastAsia="sv-SE"/>
        </w:rPr>
        <w:t>:s</w:t>
      </w:r>
      <w:r w:rsidR="007D198F">
        <w:rPr>
          <w:lang w:eastAsia="sv-SE"/>
        </w:rPr>
        <w:t xml:space="preserve"> (”</w:t>
      </w:r>
      <w:r w:rsidR="00C77E14">
        <w:rPr>
          <w:lang w:eastAsia="sv-SE"/>
        </w:rPr>
        <w:t>Bolaget</w:t>
      </w:r>
      <w:r w:rsidR="007D198F">
        <w:rPr>
          <w:lang w:eastAsia="sv-SE"/>
        </w:rPr>
        <w:t>”)</w:t>
      </w:r>
      <w:r w:rsidR="007D198F" w:rsidRPr="0094157A">
        <w:rPr>
          <w:lang w:eastAsia="sv-SE"/>
        </w:rPr>
        <w:t xml:space="preserve"> </w:t>
      </w:r>
      <w:r w:rsidR="008F417B">
        <w:rPr>
          <w:lang w:eastAsia="sv-SE"/>
        </w:rPr>
        <w:t xml:space="preserve">ersättningsregler är utformade i enlighet med de krav som ställs upp i externa regler </w:t>
      </w:r>
      <w:r w:rsidR="002343D2">
        <w:rPr>
          <w:lang w:eastAsia="sv-SE"/>
        </w:rPr>
        <w:t>och överensstämmer med de ersättningsregler som fastställts</w:t>
      </w:r>
      <w:r w:rsidR="00247791">
        <w:rPr>
          <w:lang w:eastAsia="sv-SE"/>
        </w:rPr>
        <w:t xml:space="preserve"> på koncernnivå</w:t>
      </w:r>
      <w:r w:rsidR="002343D2">
        <w:rPr>
          <w:lang w:eastAsia="sv-SE"/>
        </w:rPr>
        <w:t xml:space="preserve"> för</w:t>
      </w:r>
      <w:r w:rsidR="00467002">
        <w:rPr>
          <w:lang w:eastAsia="sv-SE"/>
        </w:rPr>
        <w:t xml:space="preserve"> moderbolaget Spotlight Group AB, (”SPGR”), och dess </w:t>
      </w:r>
      <w:r w:rsidR="007475C0">
        <w:rPr>
          <w:lang w:eastAsia="sv-SE"/>
        </w:rPr>
        <w:t xml:space="preserve">tillståndspliktiga </w:t>
      </w:r>
      <w:r w:rsidR="00467002">
        <w:rPr>
          <w:lang w:eastAsia="sv-SE"/>
        </w:rPr>
        <w:t>dotterbolag, (”Koncernen”)</w:t>
      </w:r>
      <w:r w:rsidR="00247791">
        <w:rPr>
          <w:lang w:eastAsia="sv-SE"/>
        </w:rPr>
        <w:t>.</w:t>
      </w:r>
    </w:p>
    <w:p w14:paraId="13AA3E3E" w14:textId="77777777" w:rsidR="00C77E14" w:rsidRDefault="00C77E14" w:rsidP="008F417B">
      <w:pPr>
        <w:rPr>
          <w:lang w:eastAsia="sv-SE"/>
        </w:rPr>
      </w:pPr>
    </w:p>
    <w:p w14:paraId="13DA06AF" w14:textId="1A5A7F8A" w:rsidR="0015100A" w:rsidRDefault="0015100A" w:rsidP="00B707CD">
      <w:pPr>
        <w:rPr>
          <w:lang w:eastAsia="sv-SE"/>
        </w:rPr>
      </w:pPr>
      <w:r w:rsidRPr="0015100A">
        <w:rPr>
          <w:lang w:eastAsia="sv-SE"/>
        </w:rPr>
        <w:t>Vid utarbetande av denna policy har hänsyn tagits till verksamhetens art, omfattning och komplexitet.</w:t>
      </w:r>
    </w:p>
    <w:p w14:paraId="1CDB9AB7" w14:textId="77777777" w:rsidR="00141984" w:rsidRPr="0015100A" w:rsidRDefault="00141984" w:rsidP="00B707CD">
      <w:pPr>
        <w:rPr>
          <w:lang w:eastAsia="sv-SE"/>
        </w:rPr>
      </w:pPr>
    </w:p>
    <w:p w14:paraId="2E3F2A30" w14:textId="5136A73D" w:rsidR="00D065F6" w:rsidRPr="00D065F6" w:rsidRDefault="003E31F6" w:rsidP="00D065F6">
      <w:pPr>
        <w:rPr>
          <w:lang w:eastAsia="sv-SE"/>
        </w:rPr>
      </w:pPr>
      <w:r>
        <w:rPr>
          <w:lang w:eastAsia="sv-SE"/>
        </w:rPr>
        <w:t>Bolaget</w:t>
      </w:r>
      <w:r w:rsidR="00360AC9" w:rsidRPr="0015100A">
        <w:rPr>
          <w:lang w:eastAsia="sv-SE"/>
        </w:rPr>
        <w:t xml:space="preserve"> </w:t>
      </w:r>
      <w:r w:rsidR="0015100A" w:rsidRPr="0015100A">
        <w:rPr>
          <w:lang w:eastAsia="sv-SE"/>
        </w:rPr>
        <w:t>ska beskriva, dokumentera och öppet redovisa hur ersättningar till anställda fastställs.</w:t>
      </w:r>
    </w:p>
    <w:p w14:paraId="0D4EEF90" w14:textId="77777777" w:rsidR="00C4244F" w:rsidRDefault="00C4244F" w:rsidP="00B707CD">
      <w:pPr>
        <w:rPr>
          <w:lang w:eastAsia="sv-SE"/>
        </w:rPr>
      </w:pPr>
    </w:p>
    <w:p w14:paraId="5207356D" w14:textId="62B1B5CC" w:rsidR="003A14D7" w:rsidRDefault="003E31F6" w:rsidP="00965C94">
      <w:r>
        <w:t>Bolaget</w:t>
      </w:r>
      <w:r w:rsidR="000254E2">
        <w:t xml:space="preserve"> har analyserat </w:t>
      </w:r>
      <w:r w:rsidR="00B50386">
        <w:t>bestämmelsen</w:t>
      </w:r>
      <w:r w:rsidR="000254E2">
        <w:t xml:space="preserve"> i 3 a kap.</w:t>
      </w:r>
      <w:r w:rsidR="00B50386">
        <w:t xml:space="preserve"> 1 §</w:t>
      </w:r>
      <w:r w:rsidR="000254E2">
        <w:t xml:space="preserve"> FFFS 2017:2</w:t>
      </w:r>
      <w:r w:rsidR="00C122DC">
        <w:t>, (FFFS 2021:2</w:t>
      </w:r>
      <w:r w:rsidR="00D977BE">
        <w:t>7),</w:t>
      </w:r>
      <w:r w:rsidR="000254E2">
        <w:t xml:space="preserve"> och bedömer att</w:t>
      </w:r>
      <w:r w:rsidR="00E7348D">
        <w:t xml:space="preserve"> bestämmelserna</w:t>
      </w:r>
      <w:r w:rsidR="009438CF">
        <w:t xml:space="preserve"> </w:t>
      </w:r>
      <w:r w:rsidR="00631D5A">
        <w:t xml:space="preserve">i 3 a kap. </w:t>
      </w:r>
      <w:r w:rsidR="002F3A82">
        <w:t>7 och 8 §§, 10 § andra–fjärde styckena, 13 och 14 §§</w:t>
      </w:r>
      <w:r w:rsidR="00721518">
        <w:t xml:space="preserve"> </w:t>
      </w:r>
      <w:r w:rsidR="00BC5D6C" w:rsidRPr="00BC5D6C">
        <w:t>inte</w:t>
      </w:r>
      <w:r w:rsidR="00BC5D6C">
        <w:t xml:space="preserve"> </w:t>
      </w:r>
      <w:r w:rsidR="00B50386">
        <w:t xml:space="preserve">gäller för </w:t>
      </w:r>
      <w:r>
        <w:t>Bolaget</w:t>
      </w:r>
      <w:r w:rsidR="00356AD7">
        <w:t xml:space="preserve">s </w:t>
      </w:r>
      <w:r w:rsidR="00B50386">
        <w:t>verksamhet</w:t>
      </w:r>
      <w:r w:rsidR="000D656E">
        <w:t xml:space="preserve"> då </w:t>
      </w:r>
      <w:r w:rsidR="00885BF5">
        <w:t>Bolagets tillgångar inom och utanför balansräkningen i genomsnitt för de fyra (4) närmast föregående räkenskapsåren inte överstiger 100 miljoner euro.</w:t>
      </w:r>
      <w:r w:rsidR="00885BF5" w:rsidDel="00885BF5">
        <w:t xml:space="preserve"> </w:t>
      </w:r>
    </w:p>
    <w:p w14:paraId="1E9EDD1B" w14:textId="77777777" w:rsidR="00141984" w:rsidRPr="00965C94" w:rsidRDefault="00141984" w:rsidP="00965C94">
      <w:pPr>
        <w:rPr>
          <w:lang w:eastAsia="sv-SE"/>
        </w:rPr>
      </w:pPr>
    </w:p>
    <w:p w14:paraId="0C7933D1" w14:textId="06F1C92E" w:rsidR="0015100A" w:rsidRPr="0024704C" w:rsidRDefault="0015100A" w:rsidP="00AA1219">
      <w:pPr>
        <w:pStyle w:val="Rubrik1"/>
      </w:pPr>
      <w:bookmarkStart w:id="1" w:name="_Toc90642839"/>
      <w:r w:rsidRPr="0015100A">
        <w:t>Syfte</w:t>
      </w:r>
      <w:bookmarkEnd w:id="1"/>
    </w:p>
    <w:p w14:paraId="562C5724" w14:textId="2876AE09" w:rsidR="0015100A" w:rsidRDefault="0015100A" w:rsidP="00965C94">
      <w:pPr>
        <w:rPr>
          <w:lang w:eastAsia="sv-SE"/>
        </w:rPr>
      </w:pPr>
      <w:r w:rsidRPr="0015100A">
        <w:rPr>
          <w:lang w:eastAsia="sv-SE"/>
        </w:rPr>
        <w:t xml:space="preserve">Syftet med denna policy att främja en sund och effektiv riskhantering och att motverka ett överdrivet risktagande. Policyn syftar även till att motverka att personalen belönas eller bedöms på ett sätt som kommer i konflikt med </w:t>
      </w:r>
      <w:r w:rsidR="003E31F6">
        <w:rPr>
          <w:lang w:eastAsia="sv-SE"/>
        </w:rPr>
        <w:t>Bolaget</w:t>
      </w:r>
      <w:r w:rsidR="008103F2">
        <w:rPr>
          <w:lang w:eastAsia="sv-SE"/>
        </w:rPr>
        <w:t>s</w:t>
      </w:r>
      <w:r w:rsidR="00360AC9" w:rsidRPr="0015100A">
        <w:rPr>
          <w:lang w:eastAsia="sv-SE"/>
        </w:rPr>
        <w:t xml:space="preserve"> </w:t>
      </w:r>
      <w:r w:rsidRPr="0015100A">
        <w:rPr>
          <w:lang w:eastAsia="sv-SE"/>
        </w:rPr>
        <w:t xml:space="preserve">skyldigheter att iaktta kundernas intressen. Det ska därför finnas en balans mellan fast och rörlig ersättning vilken ska upprätthållas så att ersättningsstrukturen inte skapar incitament som kan få anställda att gynna sina egna eller </w:t>
      </w:r>
      <w:r w:rsidR="003E31F6">
        <w:rPr>
          <w:lang w:eastAsia="sv-SE"/>
        </w:rPr>
        <w:t>Bolaget</w:t>
      </w:r>
      <w:r w:rsidR="008103F2">
        <w:rPr>
          <w:lang w:eastAsia="sv-SE"/>
        </w:rPr>
        <w:t>s</w:t>
      </w:r>
      <w:r w:rsidR="00360AC9" w:rsidRPr="0015100A">
        <w:rPr>
          <w:lang w:eastAsia="sv-SE"/>
        </w:rPr>
        <w:t xml:space="preserve"> </w:t>
      </w:r>
      <w:r w:rsidRPr="0015100A">
        <w:rPr>
          <w:lang w:eastAsia="sv-SE"/>
        </w:rPr>
        <w:t>intressen till potentiell skada för kundens intressen.</w:t>
      </w:r>
    </w:p>
    <w:p w14:paraId="26BE83EA" w14:textId="77777777" w:rsidR="00141984" w:rsidRPr="00965C94" w:rsidRDefault="00141984" w:rsidP="00965C94">
      <w:pPr>
        <w:rPr>
          <w:lang w:eastAsia="sv-SE"/>
        </w:rPr>
      </w:pPr>
    </w:p>
    <w:p w14:paraId="5D4598E4" w14:textId="40AFE2FB" w:rsidR="00141984" w:rsidRPr="0015100A" w:rsidRDefault="0015100A" w:rsidP="0024704C">
      <w:pPr>
        <w:pStyle w:val="Rubrik1"/>
      </w:pPr>
      <w:bookmarkStart w:id="2" w:name="_Toc90642840"/>
      <w:r w:rsidRPr="0015100A">
        <w:t>Definitioner</w:t>
      </w:r>
      <w:bookmarkEnd w:id="2"/>
    </w:p>
    <w:p w14:paraId="24AB777D" w14:textId="1D8D467F" w:rsidR="0015100A" w:rsidRDefault="0015100A" w:rsidP="0024704C">
      <w:pPr>
        <w:rPr>
          <w:lang w:eastAsia="sv-SE"/>
        </w:rPr>
      </w:pPr>
      <w:proofErr w:type="spellStart"/>
      <w:r w:rsidRPr="0024704C">
        <w:rPr>
          <w:i/>
          <w:iCs/>
          <w:lang w:eastAsia="sv-SE"/>
        </w:rPr>
        <w:t>Diskretionär</w:t>
      </w:r>
      <w:proofErr w:type="spellEnd"/>
      <w:r w:rsidRPr="0024704C">
        <w:rPr>
          <w:i/>
          <w:iCs/>
          <w:lang w:eastAsia="sv-SE"/>
        </w:rPr>
        <w:t xml:space="preserve"> pensionsförmån:</w:t>
      </w:r>
      <w:r w:rsidRPr="0015100A">
        <w:rPr>
          <w:lang w:eastAsia="sv-SE"/>
        </w:rPr>
        <w:t xml:space="preserve"> En pensionsförmån som ett företag på individuell basis beviljar en anställd som en del av hans eller hennes rörliga ersättning. Detta omfattar inte ackumulerade förmån</w:t>
      </w:r>
      <w:r w:rsidR="0024704C">
        <w:rPr>
          <w:lang w:eastAsia="sv-SE"/>
        </w:rPr>
        <w:t>e</w:t>
      </w:r>
      <w:r w:rsidRPr="0015100A">
        <w:rPr>
          <w:lang w:eastAsia="sv-SE"/>
        </w:rPr>
        <w:t xml:space="preserve">r som den anställde tjänat in enligt villkoren i företagets pensionssystem. </w:t>
      </w:r>
    </w:p>
    <w:p w14:paraId="4FD6251E" w14:textId="77777777" w:rsidR="00141984" w:rsidRPr="0015100A" w:rsidRDefault="00141984" w:rsidP="0024704C">
      <w:pPr>
        <w:rPr>
          <w:lang w:eastAsia="sv-SE"/>
        </w:rPr>
      </w:pPr>
    </w:p>
    <w:p w14:paraId="4AD67639" w14:textId="655AC577" w:rsidR="0015100A" w:rsidRDefault="0015100A" w:rsidP="0024704C">
      <w:pPr>
        <w:rPr>
          <w:lang w:eastAsia="sv-SE"/>
        </w:rPr>
      </w:pPr>
      <w:r w:rsidRPr="0024704C">
        <w:rPr>
          <w:i/>
          <w:iCs/>
          <w:lang w:eastAsia="sv-SE"/>
        </w:rPr>
        <w:t>Ersättning:</w:t>
      </w:r>
      <w:r w:rsidRPr="0015100A">
        <w:rPr>
          <w:lang w:eastAsia="sv-SE"/>
        </w:rPr>
        <w:t xml:space="preserve"> Alla ersättningar och förmåner till en anställd (</w:t>
      </w:r>
      <w:proofErr w:type="gramStart"/>
      <w:r w:rsidRPr="0015100A">
        <w:rPr>
          <w:lang w:eastAsia="sv-SE"/>
        </w:rPr>
        <w:t>t.ex.</w:t>
      </w:r>
      <w:proofErr w:type="gramEnd"/>
      <w:r w:rsidRPr="0015100A">
        <w:rPr>
          <w:lang w:eastAsia="sv-SE"/>
        </w:rPr>
        <w:t xml:space="preserve"> kontant lön och andra kontanta ersättningar, ersättningar i form av aktier eller aktierelaterade instrument, pensionsavsättningar, avgångsvederlag eller bilförmåner).</w:t>
      </w:r>
    </w:p>
    <w:p w14:paraId="09B6B249" w14:textId="77777777" w:rsidR="00E15512" w:rsidRDefault="00E15512" w:rsidP="0024704C">
      <w:pPr>
        <w:rPr>
          <w:lang w:eastAsia="sv-SE"/>
        </w:rPr>
      </w:pPr>
    </w:p>
    <w:p w14:paraId="45B73739" w14:textId="35F30A08" w:rsidR="00E15512" w:rsidRDefault="00E15512" w:rsidP="0024704C">
      <w:pPr>
        <w:rPr>
          <w:lang w:eastAsia="sv-SE"/>
        </w:rPr>
      </w:pPr>
      <w:r w:rsidRPr="00B52C5D">
        <w:rPr>
          <w:i/>
          <w:iCs/>
          <w:lang w:eastAsia="sv-SE"/>
        </w:rPr>
        <w:t>Ersättningskommittén:</w:t>
      </w:r>
      <w:r>
        <w:rPr>
          <w:lang w:eastAsia="sv-SE"/>
        </w:rPr>
        <w:t xml:space="preserve"> </w:t>
      </w:r>
      <w:r w:rsidR="00B20640">
        <w:rPr>
          <w:lang w:eastAsia="sv-SE"/>
        </w:rPr>
        <w:t xml:space="preserve">ledamöterna får ej vara anställda i Bolaget och ska bestå av </w:t>
      </w:r>
      <w:r>
        <w:rPr>
          <w:lang w:eastAsia="sv-SE"/>
        </w:rPr>
        <w:t>styrelseordförande</w:t>
      </w:r>
      <w:r w:rsidR="00B52C5D">
        <w:rPr>
          <w:lang w:eastAsia="sv-SE"/>
        </w:rPr>
        <w:t xml:space="preserve"> </w:t>
      </w:r>
      <w:r w:rsidR="00B20640">
        <w:rPr>
          <w:lang w:eastAsia="sv-SE"/>
        </w:rPr>
        <w:t xml:space="preserve">samt ytterligare en </w:t>
      </w:r>
      <w:r w:rsidR="007757C3">
        <w:rPr>
          <w:lang w:eastAsia="sv-SE"/>
        </w:rPr>
        <w:t>särskild utsedd styrelseledamo</w:t>
      </w:r>
      <w:r w:rsidR="00B0554E">
        <w:rPr>
          <w:lang w:eastAsia="sv-SE"/>
        </w:rPr>
        <w:t>t</w:t>
      </w:r>
      <w:r w:rsidR="005F68E3">
        <w:rPr>
          <w:lang w:eastAsia="sv-SE"/>
        </w:rPr>
        <w:t>.</w:t>
      </w:r>
    </w:p>
    <w:p w14:paraId="3E67CF29" w14:textId="77777777" w:rsidR="00467002" w:rsidRDefault="00467002" w:rsidP="0024704C">
      <w:pPr>
        <w:rPr>
          <w:lang w:eastAsia="sv-SE"/>
        </w:rPr>
      </w:pPr>
    </w:p>
    <w:p w14:paraId="017032AB" w14:textId="68F31CB9" w:rsidR="00CE71AD" w:rsidRPr="00CE71AD" w:rsidRDefault="00CE71AD" w:rsidP="00467002">
      <w:pPr>
        <w:rPr>
          <w:lang w:eastAsia="sv-SE"/>
        </w:rPr>
      </w:pPr>
      <w:r>
        <w:rPr>
          <w:i/>
          <w:iCs/>
          <w:lang w:eastAsia="sv-SE"/>
        </w:rPr>
        <w:t xml:space="preserve">Koncernen: </w:t>
      </w:r>
      <w:r w:rsidR="00EE497E">
        <w:rPr>
          <w:lang w:eastAsia="sv-SE"/>
        </w:rPr>
        <w:t>m</w:t>
      </w:r>
      <w:r w:rsidR="004E7FE9">
        <w:rPr>
          <w:lang w:eastAsia="sv-SE"/>
        </w:rPr>
        <w:t xml:space="preserve">oderbolaget </w:t>
      </w:r>
      <w:r>
        <w:rPr>
          <w:lang w:eastAsia="sv-SE"/>
        </w:rPr>
        <w:t>Spotlight Group AB</w:t>
      </w:r>
      <w:r w:rsidR="00B138AF">
        <w:rPr>
          <w:lang w:eastAsia="sv-SE"/>
        </w:rPr>
        <w:t>, (”SPGR”),</w:t>
      </w:r>
      <w:r>
        <w:rPr>
          <w:lang w:eastAsia="sv-SE"/>
        </w:rPr>
        <w:t xml:space="preserve"> och dess dotterbolag</w:t>
      </w:r>
      <w:r w:rsidR="009D5C14">
        <w:rPr>
          <w:lang w:eastAsia="sv-SE"/>
        </w:rPr>
        <w:t>.</w:t>
      </w:r>
    </w:p>
    <w:p w14:paraId="6DF87605" w14:textId="77777777" w:rsidR="00CE71AD" w:rsidRPr="00A93947" w:rsidRDefault="00CE71AD" w:rsidP="00467002">
      <w:pPr>
        <w:rPr>
          <w:lang w:eastAsia="sv-SE"/>
        </w:rPr>
      </w:pPr>
    </w:p>
    <w:p w14:paraId="5D501708" w14:textId="47D49E90" w:rsidR="00467002" w:rsidRDefault="00467002" w:rsidP="00467002">
      <w:pPr>
        <w:rPr>
          <w:lang w:eastAsia="sv-SE"/>
        </w:rPr>
      </w:pPr>
      <w:r w:rsidRPr="008F4E25">
        <w:rPr>
          <w:i/>
          <w:iCs/>
          <w:lang w:eastAsia="sv-SE"/>
        </w:rPr>
        <w:t>Koncernledning:</w:t>
      </w:r>
      <w:r>
        <w:rPr>
          <w:lang w:eastAsia="sv-SE"/>
        </w:rPr>
        <w:t xml:space="preserve"> Verkställande direktör, vice verkställande direktör och CFO i moderbolaget </w:t>
      </w:r>
      <w:r w:rsidR="00CC7AED">
        <w:rPr>
          <w:lang w:eastAsia="sv-SE"/>
        </w:rPr>
        <w:t>SPGR.</w:t>
      </w:r>
    </w:p>
    <w:p w14:paraId="0B34C1A2" w14:textId="77777777" w:rsidR="00467002" w:rsidRDefault="00467002" w:rsidP="0024704C">
      <w:pPr>
        <w:rPr>
          <w:lang w:eastAsia="sv-SE"/>
        </w:rPr>
      </w:pPr>
    </w:p>
    <w:p w14:paraId="479C5BDB" w14:textId="7B872E75" w:rsidR="00467002" w:rsidRDefault="00467002" w:rsidP="00467002">
      <w:pPr>
        <w:jc w:val="left"/>
        <w:rPr>
          <w:lang w:eastAsia="sv-SE"/>
        </w:rPr>
      </w:pPr>
      <w:r>
        <w:rPr>
          <w:i/>
          <w:iCs/>
          <w:lang w:eastAsia="sv-SE"/>
        </w:rPr>
        <w:t>LTIP 202</w:t>
      </w:r>
      <w:r w:rsidR="003E5459">
        <w:rPr>
          <w:i/>
          <w:iCs/>
          <w:lang w:eastAsia="sv-SE"/>
        </w:rPr>
        <w:t>2, 2023 och 2024</w:t>
      </w:r>
      <w:r>
        <w:rPr>
          <w:i/>
          <w:iCs/>
          <w:lang w:eastAsia="sv-SE"/>
        </w:rPr>
        <w:t>:</w:t>
      </w:r>
      <w:r>
        <w:rPr>
          <w:lang w:eastAsia="sv-SE"/>
        </w:rPr>
        <w:t xml:space="preserve"> Ett </w:t>
      </w:r>
      <w:r w:rsidR="00EA6EBF">
        <w:rPr>
          <w:lang w:eastAsia="sv-SE"/>
        </w:rPr>
        <w:t xml:space="preserve">långsiktigt </w:t>
      </w:r>
      <w:r>
        <w:rPr>
          <w:lang w:eastAsia="sv-SE"/>
        </w:rPr>
        <w:t xml:space="preserve">incitamentsprogram som </w:t>
      </w:r>
      <w:r w:rsidRPr="00841AD6">
        <w:rPr>
          <w:lang w:eastAsia="sv-SE"/>
        </w:rPr>
        <w:t xml:space="preserve">omfattar anställda och vissa konsulter inom </w:t>
      </w:r>
      <w:r w:rsidR="00CE71AD">
        <w:rPr>
          <w:lang w:eastAsia="sv-SE"/>
        </w:rPr>
        <w:t>K</w:t>
      </w:r>
      <w:r w:rsidRPr="00841AD6">
        <w:rPr>
          <w:lang w:eastAsia="sv-SE"/>
        </w:rPr>
        <w:t>oncernen (”</w:t>
      </w:r>
      <w:r>
        <w:rPr>
          <w:lang w:eastAsia="sv-SE"/>
        </w:rPr>
        <w:t>D</w:t>
      </w:r>
      <w:r w:rsidRPr="00841AD6">
        <w:rPr>
          <w:lang w:eastAsia="sv-SE"/>
        </w:rPr>
        <w:t xml:space="preserve">eltagare”). En tecknad aktie medför en rätt till två olika </w:t>
      </w:r>
      <w:r w:rsidRPr="00841AD6">
        <w:rPr>
          <w:lang w:eastAsia="sv-SE"/>
        </w:rPr>
        <w:lastRenderedPageBreak/>
        <w:t>aktierätter, prestationsaktierätt och matchningsaktierätt</w:t>
      </w:r>
      <w:r w:rsidR="00CB03FC">
        <w:rPr>
          <w:lang w:eastAsia="sv-SE"/>
        </w:rPr>
        <w:t>.</w:t>
      </w:r>
      <w:r w:rsidRPr="00841AD6">
        <w:rPr>
          <w:lang w:eastAsia="sv-SE"/>
        </w:rPr>
        <w:t xml:space="preserve"> Matchningsaktierätten kräver att </w:t>
      </w:r>
      <w:r>
        <w:rPr>
          <w:lang w:eastAsia="sv-SE"/>
        </w:rPr>
        <w:t>D</w:t>
      </w:r>
      <w:r w:rsidRPr="00841AD6">
        <w:rPr>
          <w:lang w:eastAsia="sv-SE"/>
        </w:rPr>
        <w:t>eltagaren har innehavt samtliga tecknade aktier och varit anställd (för konsulter, tillhandahållit tjänster) inom koncernen under hela programmets löptid. Prestationsaktierätten kräver därutöver att bolaget har uppfyllt sina operationella målsättningar om omsättningstillväxt och rörelsemarginal.</w:t>
      </w:r>
      <w:r>
        <w:rPr>
          <w:lang w:eastAsia="sv-SE"/>
        </w:rPr>
        <w:t xml:space="preserve"> </w:t>
      </w:r>
      <w:r w:rsidRPr="00841AD6">
        <w:rPr>
          <w:lang w:eastAsia="sv-SE"/>
        </w:rPr>
        <w:t>Aktierätterna som ges ut inom ramen för LTIP bedöms vara personaloptioner</w:t>
      </w:r>
      <w:r>
        <w:rPr>
          <w:lang w:eastAsia="sv-SE"/>
        </w:rPr>
        <w:t>.</w:t>
      </w:r>
    </w:p>
    <w:p w14:paraId="5A64B504" w14:textId="77777777" w:rsidR="009C5659" w:rsidRDefault="009C5659" w:rsidP="00467002">
      <w:pPr>
        <w:jc w:val="left"/>
        <w:rPr>
          <w:lang w:eastAsia="sv-SE"/>
        </w:rPr>
      </w:pPr>
    </w:p>
    <w:p w14:paraId="4F326B37" w14:textId="006BDA75" w:rsidR="009C5659" w:rsidRPr="00841AD6" w:rsidRDefault="009C5659" w:rsidP="00467002">
      <w:pPr>
        <w:jc w:val="left"/>
        <w:rPr>
          <w:lang w:eastAsia="sv-SE"/>
        </w:rPr>
      </w:pPr>
      <w:r>
        <w:rPr>
          <w:lang w:eastAsia="sv-SE"/>
        </w:rPr>
        <w:t>Tecknings</w:t>
      </w:r>
      <w:r w:rsidR="003013A7">
        <w:rPr>
          <w:lang w:eastAsia="sv-SE"/>
        </w:rPr>
        <w:t>perioden</w:t>
      </w:r>
      <w:r>
        <w:rPr>
          <w:lang w:eastAsia="sv-SE"/>
        </w:rPr>
        <w:t xml:space="preserve"> </w:t>
      </w:r>
      <w:r w:rsidR="003E5459">
        <w:rPr>
          <w:lang w:eastAsia="sv-SE"/>
        </w:rPr>
        <w:t xml:space="preserve">för LTIP 2022 </w:t>
      </w:r>
      <w:r w:rsidR="00145509">
        <w:rPr>
          <w:lang w:eastAsia="sv-SE"/>
        </w:rPr>
        <w:t xml:space="preserve">och 2023 </w:t>
      </w:r>
      <w:r>
        <w:rPr>
          <w:lang w:eastAsia="sv-SE"/>
        </w:rPr>
        <w:t>avsluta</w:t>
      </w:r>
      <w:r w:rsidR="000A21F2">
        <w:rPr>
          <w:lang w:eastAsia="sv-SE"/>
        </w:rPr>
        <w:t>de</w:t>
      </w:r>
      <w:r>
        <w:rPr>
          <w:lang w:eastAsia="sv-SE"/>
        </w:rPr>
        <w:t xml:space="preserve">s i januari </w:t>
      </w:r>
      <w:r w:rsidR="00145509">
        <w:rPr>
          <w:lang w:eastAsia="sv-SE"/>
        </w:rPr>
        <w:t xml:space="preserve">2022 </w:t>
      </w:r>
      <w:r w:rsidR="003D2C93">
        <w:rPr>
          <w:lang w:eastAsia="sv-SE"/>
        </w:rPr>
        <w:t>respektive</w:t>
      </w:r>
      <w:r w:rsidR="00145509">
        <w:rPr>
          <w:lang w:eastAsia="sv-SE"/>
        </w:rPr>
        <w:t xml:space="preserve"> </w:t>
      </w:r>
      <w:r>
        <w:rPr>
          <w:lang w:eastAsia="sv-SE"/>
        </w:rPr>
        <w:t>202</w:t>
      </w:r>
      <w:r w:rsidR="00F60E27">
        <w:rPr>
          <w:lang w:eastAsia="sv-SE"/>
        </w:rPr>
        <w:t>3</w:t>
      </w:r>
      <w:r>
        <w:rPr>
          <w:lang w:eastAsia="sv-SE"/>
        </w:rPr>
        <w:t xml:space="preserve"> och programme</w:t>
      </w:r>
      <w:r w:rsidR="00244565">
        <w:rPr>
          <w:lang w:eastAsia="sv-SE"/>
        </w:rPr>
        <w:t>n</w:t>
      </w:r>
      <w:r>
        <w:rPr>
          <w:lang w:eastAsia="sv-SE"/>
        </w:rPr>
        <w:t xml:space="preserve"> löper i</w:t>
      </w:r>
      <w:r w:rsidR="00145509">
        <w:rPr>
          <w:lang w:eastAsia="sv-SE"/>
        </w:rPr>
        <w:t xml:space="preserve"> </w:t>
      </w:r>
      <w:r>
        <w:rPr>
          <w:lang w:eastAsia="sv-SE"/>
        </w:rPr>
        <w:t>tre (3) år till 202</w:t>
      </w:r>
      <w:r w:rsidR="007909E8">
        <w:rPr>
          <w:lang w:eastAsia="sv-SE"/>
        </w:rPr>
        <w:t>5</w:t>
      </w:r>
      <w:r w:rsidR="00145509">
        <w:rPr>
          <w:lang w:eastAsia="sv-SE"/>
        </w:rPr>
        <w:t xml:space="preserve"> respektive</w:t>
      </w:r>
      <w:r w:rsidR="007909E8">
        <w:rPr>
          <w:lang w:eastAsia="sv-SE"/>
        </w:rPr>
        <w:t xml:space="preserve"> 2026</w:t>
      </w:r>
      <w:r>
        <w:rPr>
          <w:lang w:eastAsia="sv-SE"/>
        </w:rPr>
        <w:t>.</w:t>
      </w:r>
    </w:p>
    <w:p w14:paraId="346FAD76" w14:textId="547CBC46" w:rsidR="00467002" w:rsidRDefault="00467002" w:rsidP="0024704C">
      <w:pPr>
        <w:rPr>
          <w:lang w:eastAsia="sv-SE"/>
        </w:rPr>
      </w:pPr>
    </w:p>
    <w:p w14:paraId="3B55DDA5" w14:textId="44A87ADE" w:rsidR="00467002" w:rsidRPr="00E05E45" w:rsidRDefault="00467002" w:rsidP="00467002">
      <w:pPr>
        <w:jc w:val="left"/>
        <w:rPr>
          <w:b/>
          <w:bCs/>
          <w:lang w:eastAsia="sv-SE"/>
        </w:rPr>
      </w:pPr>
      <w:r>
        <w:rPr>
          <w:i/>
          <w:iCs/>
          <w:lang w:eastAsia="sv-SE"/>
        </w:rPr>
        <w:t>TO</w:t>
      </w:r>
      <w:r w:rsidR="007909E8">
        <w:rPr>
          <w:i/>
          <w:iCs/>
          <w:lang w:eastAsia="sv-SE"/>
        </w:rPr>
        <w:t>1, TO2 och TO3</w:t>
      </w:r>
      <w:r>
        <w:rPr>
          <w:i/>
          <w:iCs/>
          <w:lang w:eastAsia="sv-SE"/>
        </w:rPr>
        <w:t>:</w:t>
      </w:r>
      <w:r>
        <w:rPr>
          <w:lang w:eastAsia="sv-SE"/>
        </w:rPr>
        <w:t xml:space="preserve"> </w:t>
      </w:r>
    </w:p>
    <w:p w14:paraId="6AEBE5E2" w14:textId="32653325" w:rsidR="00E35995" w:rsidRDefault="00467002" w:rsidP="00467002">
      <w:pPr>
        <w:jc w:val="left"/>
        <w:rPr>
          <w:lang w:eastAsia="sv-SE"/>
        </w:rPr>
      </w:pPr>
      <w:r>
        <w:rPr>
          <w:lang w:eastAsia="sv-SE"/>
        </w:rPr>
        <w:t>E</w:t>
      </w:r>
      <w:r w:rsidRPr="00841AD6">
        <w:rPr>
          <w:lang w:eastAsia="sv-SE"/>
        </w:rPr>
        <w:t xml:space="preserve">tt incitamentsprogram för nyckelpersoner inom koncernen får en rätt att teckna teckningsoptioner i </w:t>
      </w:r>
      <w:r w:rsidR="00CB03FC">
        <w:rPr>
          <w:lang w:eastAsia="sv-SE"/>
        </w:rPr>
        <w:t>B</w:t>
      </w:r>
      <w:r w:rsidRPr="00841AD6">
        <w:rPr>
          <w:lang w:eastAsia="sv-SE"/>
        </w:rPr>
        <w:t>olaget</w:t>
      </w:r>
      <w:r w:rsidR="00CB03FC">
        <w:rPr>
          <w:lang w:eastAsia="sv-SE"/>
        </w:rPr>
        <w:t>.</w:t>
      </w:r>
    </w:p>
    <w:p w14:paraId="5D18D859" w14:textId="15E0C4D5" w:rsidR="00467002" w:rsidRDefault="00467002" w:rsidP="00467002">
      <w:pPr>
        <w:jc w:val="left"/>
        <w:rPr>
          <w:lang w:eastAsia="sv-SE"/>
        </w:rPr>
      </w:pPr>
      <w:r w:rsidRPr="00841AD6">
        <w:rPr>
          <w:lang w:eastAsia="sv-SE"/>
        </w:rPr>
        <w:t xml:space="preserve"> </w:t>
      </w:r>
    </w:p>
    <w:p w14:paraId="5B30643A" w14:textId="66422897" w:rsidR="00E35995" w:rsidRPr="00841AD6" w:rsidRDefault="00E35995" w:rsidP="00E35995">
      <w:pPr>
        <w:jc w:val="left"/>
        <w:rPr>
          <w:lang w:eastAsia="sv-SE"/>
        </w:rPr>
      </w:pPr>
      <w:r>
        <w:rPr>
          <w:lang w:eastAsia="sv-SE"/>
        </w:rPr>
        <w:t>Teckningsperioden avsluta</w:t>
      </w:r>
      <w:r w:rsidR="00887B15">
        <w:rPr>
          <w:lang w:eastAsia="sv-SE"/>
        </w:rPr>
        <w:t>de</w:t>
      </w:r>
      <w:r>
        <w:rPr>
          <w:lang w:eastAsia="sv-SE"/>
        </w:rPr>
        <w:t xml:space="preserve">s i januari </w:t>
      </w:r>
      <w:r w:rsidR="00236003">
        <w:rPr>
          <w:lang w:eastAsia="sv-SE"/>
        </w:rPr>
        <w:t>2022</w:t>
      </w:r>
      <w:r w:rsidR="00803281">
        <w:rPr>
          <w:lang w:eastAsia="sv-SE"/>
        </w:rPr>
        <w:t xml:space="preserve"> (TO1)</w:t>
      </w:r>
      <w:r w:rsidR="00236003">
        <w:rPr>
          <w:lang w:eastAsia="sv-SE"/>
        </w:rPr>
        <w:t xml:space="preserve"> och </w:t>
      </w:r>
      <w:r>
        <w:rPr>
          <w:lang w:eastAsia="sv-SE"/>
        </w:rPr>
        <w:t>202</w:t>
      </w:r>
      <w:r w:rsidR="00637BDE">
        <w:rPr>
          <w:lang w:eastAsia="sv-SE"/>
        </w:rPr>
        <w:t>3</w:t>
      </w:r>
      <w:r w:rsidR="005F2F3A">
        <w:rPr>
          <w:lang w:eastAsia="sv-SE"/>
        </w:rPr>
        <w:t xml:space="preserve"> (TO2)</w:t>
      </w:r>
      <w:r>
        <w:rPr>
          <w:lang w:eastAsia="sv-SE"/>
        </w:rPr>
        <w:t xml:space="preserve"> och programme</w:t>
      </w:r>
      <w:r w:rsidR="00244565">
        <w:rPr>
          <w:lang w:eastAsia="sv-SE"/>
        </w:rPr>
        <w:t>n</w:t>
      </w:r>
      <w:r>
        <w:rPr>
          <w:lang w:eastAsia="sv-SE"/>
        </w:rPr>
        <w:t xml:space="preserve"> löper i tre (3) år till 202</w:t>
      </w:r>
      <w:r w:rsidR="00236003">
        <w:rPr>
          <w:lang w:eastAsia="sv-SE"/>
        </w:rPr>
        <w:t>5 respektive 202</w:t>
      </w:r>
      <w:r w:rsidR="00803281">
        <w:rPr>
          <w:lang w:eastAsia="sv-SE"/>
        </w:rPr>
        <w:t>6</w:t>
      </w:r>
      <w:r>
        <w:rPr>
          <w:lang w:eastAsia="sv-SE"/>
        </w:rPr>
        <w:t>.</w:t>
      </w:r>
    </w:p>
    <w:p w14:paraId="56DFF74F" w14:textId="77777777" w:rsidR="00467002" w:rsidRPr="00467002" w:rsidRDefault="00467002" w:rsidP="0024704C">
      <w:pPr>
        <w:rPr>
          <w:lang w:eastAsia="sv-SE"/>
        </w:rPr>
      </w:pPr>
    </w:p>
    <w:p w14:paraId="57EE0284" w14:textId="4A45F2D6" w:rsidR="008F3F1A" w:rsidRDefault="00B52C5D" w:rsidP="00B52C5D">
      <w:r w:rsidRPr="01160DDE">
        <w:rPr>
          <w:i/>
          <w:iCs/>
          <w:lang w:eastAsia="sv-SE"/>
        </w:rPr>
        <w:t>Riskpåverkande personal:</w:t>
      </w:r>
      <w:r w:rsidRPr="01160DDE">
        <w:rPr>
          <w:lang w:eastAsia="sv-SE"/>
        </w:rPr>
        <w:t xml:space="preserve"> </w:t>
      </w:r>
      <w:r w:rsidR="001A5ED7">
        <w:t xml:space="preserve">anställda vars arbetsuppgifter har en väsentlig inverkan på företagets riskprofil eller på riskprofilen för de tillgångar som det förvaltar, inbegripet personer i ledande befattning, risktagare, personal som utövar kontrollfunktioner och alla anställda vars totala ersättning åtminstone är i nivå med den lägsta ersättningen för personer i ledande befattning eller risktagare samt andra anställda som företaget har identifierat enligt kommissionens delegerade förordning (EU) </w:t>
      </w:r>
      <w:r w:rsidR="007233DA">
        <w:t>2021/2154</w:t>
      </w:r>
      <w:r w:rsidR="001A5ED7">
        <w:t xml:space="preserve"> av den </w:t>
      </w:r>
      <w:r w:rsidR="007233DA">
        <w:t xml:space="preserve">13 augusti 2021 </w:t>
      </w:r>
      <w:r w:rsidR="001A5ED7">
        <w:t>om komplettering av Europaparlamentets och rådets direktiv 2019/2034 avseende tekniska standarder för att specificera lämpliga kriterier i syfte att fastställa kategorier för personal vars yrkesutövning har en väsentlig inverkan på värdepappersföretagets riskprofil eller för de tillgångar som det förvaltar enligt vad som avses i artikel 30.1 i samma direktiv.</w:t>
      </w:r>
      <w:r w:rsidR="008F3F1A">
        <w:t xml:space="preserve"> </w:t>
      </w:r>
    </w:p>
    <w:p w14:paraId="0D4B0C2A" w14:textId="77777777" w:rsidR="008F3F1A" w:rsidRDefault="008F3F1A" w:rsidP="00B52C5D"/>
    <w:p w14:paraId="1A49A967" w14:textId="5272400A" w:rsidR="00B52C5D" w:rsidRDefault="003156A9" w:rsidP="00B52C5D">
      <w:pPr>
        <w:rPr>
          <w:lang w:eastAsia="sv-SE"/>
        </w:rPr>
      </w:pPr>
      <w:r>
        <w:rPr>
          <w:lang w:eastAsia="sv-SE"/>
        </w:rPr>
        <w:t xml:space="preserve">För </w:t>
      </w:r>
      <w:r w:rsidR="008F3F1A">
        <w:rPr>
          <w:lang w:eastAsia="sv-SE"/>
        </w:rPr>
        <w:t xml:space="preserve">Riskpåverkande personal </w:t>
      </w:r>
      <w:r w:rsidR="00B52C5D" w:rsidRPr="0015100A">
        <w:rPr>
          <w:lang w:eastAsia="sv-SE"/>
        </w:rPr>
        <w:t xml:space="preserve">som identifierats, se </w:t>
      </w:r>
      <w:r w:rsidR="003E31F6">
        <w:rPr>
          <w:lang w:eastAsia="sv-SE"/>
        </w:rPr>
        <w:t>Bolaget</w:t>
      </w:r>
      <w:r w:rsidR="008103F2">
        <w:rPr>
          <w:lang w:eastAsia="sv-SE"/>
        </w:rPr>
        <w:t xml:space="preserve">s </w:t>
      </w:r>
      <w:r w:rsidR="000B5CBE" w:rsidRPr="006B0AD9">
        <w:rPr>
          <w:i/>
          <w:iCs/>
          <w:lang w:eastAsia="sv-SE"/>
        </w:rPr>
        <w:t>Analys av personal med väsentlig inverkan på instituts riskprofil.</w:t>
      </w:r>
    </w:p>
    <w:p w14:paraId="3A4D5861" w14:textId="77777777" w:rsidR="00901EE2" w:rsidRDefault="00901EE2" w:rsidP="00B52C5D">
      <w:pPr>
        <w:rPr>
          <w:lang w:eastAsia="sv-SE"/>
        </w:rPr>
      </w:pPr>
    </w:p>
    <w:p w14:paraId="07CADE9B" w14:textId="3AEE18F7" w:rsidR="0015100A" w:rsidRDefault="0015100A" w:rsidP="0024704C">
      <w:pPr>
        <w:rPr>
          <w:lang w:eastAsia="sv-SE"/>
        </w:rPr>
      </w:pPr>
      <w:r w:rsidRPr="0024704C">
        <w:rPr>
          <w:i/>
          <w:iCs/>
          <w:lang w:eastAsia="sv-SE"/>
        </w:rPr>
        <w:t xml:space="preserve">Rörlig </w:t>
      </w:r>
      <w:r w:rsidR="00BF0FC9">
        <w:rPr>
          <w:i/>
          <w:iCs/>
          <w:lang w:eastAsia="sv-SE"/>
        </w:rPr>
        <w:t>e</w:t>
      </w:r>
      <w:r w:rsidRPr="0024704C">
        <w:rPr>
          <w:i/>
          <w:iCs/>
          <w:lang w:eastAsia="sv-SE"/>
        </w:rPr>
        <w:t>rsättning:</w:t>
      </w:r>
      <w:r w:rsidRPr="0015100A">
        <w:rPr>
          <w:lang w:eastAsia="sv-SE"/>
        </w:rPr>
        <w:t xml:space="preserve"> Ersättning som inte på förhand är fastställd till belopp eller storlek. Som rörlig ersättning räknas inte provisionsbaserad lön som är utan koppling till sådana framtida </w:t>
      </w:r>
      <w:proofErr w:type="spellStart"/>
      <w:r w:rsidRPr="0015100A">
        <w:rPr>
          <w:lang w:eastAsia="sv-SE"/>
        </w:rPr>
        <w:t>riskåtaganden</w:t>
      </w:r>
      <w:proofErr w:type="spellEnd"/>
      <w:r w:rsidRPr="0015100A">
        <w:rPr>
          <w:lang w:eastAsia="sv-SE"/>
        </w:rPr>
        <w:t xml:space="preserve"> vilka kan komma att ändra företagets resultat- eller balansräkning.  </w:t>
      </w:r>
    </w:p>
    <w:p w14:paraId="1BA68C4C" w14:textId="77777777" w:rsidR="00141984" w:rsidRPr="0015100A" w:rsidRDefault="00141984" w:rsidP="0024704C">
      <w:pPr>
        <w:rPr>
          <w:lang w:eastAsia="sv-SE"/>
        </w:rPr>
      </w:pPr>
    </w:p>
    <w:p w14:paraId="3D754081" w14:textId="51C33562" w:rsidR="0015100A" w:rsidRDefault="00B662C2" w:rsidP="0024704C">
      <w:pPr>
        <w:rPr>
          <w:lang w:eastAsia="sv-SE"/>
        </w:rPr>
      </w:pPr>
      <w:r>
        <w:rPr>
          <w:i/>
          <w:iCs/>
          <w:lang w:eastAsia="sv-SE"/>
        </w:rPr>
        <w:t>Verkställande l</w:t>
      </w:r>
      <w:r w:rsidR="0015100A" w:rsidRPr="00707E22">
        <w:rPr>
          <w:i/>
          <w:iCs/>
          <w:lang w:eastAsia="sv-SE"/>
        </w:rPr>
        <w:t>edning:</w:t>
      </w:r>
      <w:r w:rsidR="0015100A" w:rsidRPr="0015100A">
        <w:rPr>
          <w:lang w:eastAsia="sv-SE"/>
        </w:rPr>
        <w:t xml:space="preserve"> Verkställande direktör och andra personer i ledningsgrupp eller liknande organ som är direkt ansvariga inför styrelsen eller den verkställande direktören.</w:t>
      </w:r>
    </w:p>
    <w:p w14:paraId="096061AF" w14:textId="77777777" w:rsidR="0053488E" w:rsidRDefault="0053488E" w:rsidP="0024704C">
      <w:pPr>
        <w:rPr>
          <w:lang w:eastAsia="sv-SE"/>
        </w:rPr>
      </w:pPr>
    </w:p>
    <w:p w14:paraId="63D2643B" w14:textId="5FC7F7D5" w:rsidR="00467002" w:rsidRDefault="00467002" w:rsidP="00AA1219">
      <w:pPr>
        <w:pStyle w:val="Rubrik1"/>
      </w:pPr>
      <w:bookmarkStart w:id="3" w:name="_Toc90473142"/>
      <w:bookmarkStart w:id="4" w:name="_Toc90642841"/>
      <w:bookmarkStart w:id="5" w:name="_Toc90473143"/>
      <w:bookmarkStart w:id="6" w:name="_Toc90642842"/>
      <w:bookmarkStart w:id="7" w:name="_Toc90642843"/>
      <w:bookmarkEnd w:id="3"/>
      <w:bookmarkEnd w:id="4"/>
      <w:bookmarkEnd w:id="5"/>
      <w:bookmarkEnd w:id="6"/>
      <w:r>
        <w:t>Ersättningsformer</w:t>
      </w:r>
      <w:bookmarkEnd w:id="7"/>
    </w:p>
    <w:p w14:paraId="0E5E65BB" w14:textId="77777777" w:rsidR="00467002" w:rsidRDefault="00467002" w:rsidP="00467002">
      <w:pPr>
        <w:rPr>
          <w:lang w:eastAsia="sv-SE"/>
        </w:rPr>
      </w:pPr>
      <w:r>
        <w:rPr>
          <w:lang w:eastAsia="sv-SE"/>
        </w:rPr>
        <w:t>I Bolaget</w:t>
      </w:r>
      <w:r w:rsidRPr="0015100A">
        <w:rPr>
          <w:lang w:eastAsia="sv-SE"/>
        </w:rPr>
        <w:t xml:space="preserve"> förekommer följande typer av </w:t>
      </w:r>
      <w:r>
        <w:rPr>
          <w:lang w:eastAsia="sv-SE"/>
        </w:rPr>
        <w:t>e</w:t>
      </w:r>
      <w:r w:rsidRPr="0015100A">
        <w:rPr>
          <w:lang w:eastAsia="sv-SE"/>
        </w:rPr>
        <w:t>rsättning:</w:t>
      </w:r>
    </w:p>
    <w:p w14:paraId="40ABB91A" w14:textId="091A87C9" w:rsidR="00521D76" w:rsidRDefault="00467002" w:rsidP="00467002">
      <w:pPr>
        <w:pStyle w:val="Liststycke"/>
        <w:numPr>
          <w:ilvl w:val="0"/>
          <w:numId w:val="5"/>
        </w:numPr>
        <w:rPr>
          <w:lang w:eastAsia="sv-SE"/>
        </w:rPr>
      </w:pPr>
      <w:r w:rsidRPr="0015100A">
        <w:rPr>
          <w:lang w:eastAsia="sv-SE"/>
        </w:rPr>
        <w:t>Fast ersättning i form av kontant lön, friskvårdsbidrag, pensionsavsättningar, bilförmåner</w:t>
      </w:r>
      <w:r>
        <w:rPr>
          <w:lang w:eastAsia="sv-SE"/>
        </w:rPr>
        <w:t xml:space="preserve">, </w:t>
      </w:r>
      <w:r w:rsidR="00111EF3">
        <w:rPr>
          <w:lang w:eastAsia="sv-SE"/>
        </w:rPr>
        <w:t>personaloptioner, (LTIP</w:t>
      </w:r>
      <w:r w:rsidR="005801A6">
        <w:rPr>
          <w:lang w:eastAsia="sv-SE"/>
        </w:rPr>
        <w:t xml:space="preserve"> </w:t>
      </w:r>
      <w:r w:rsidR="00162254">
        <w:rPr>
          <w:lang w:eastAsia="sv-SE"/>
        </w:rPr>
        <w:t xml:space="preserve">2022, 2023 och </w:t>
      </w:r>
      <w:r w:rsidR="00BD15A2">
        <w:rPr>
          <w:lang w:eastAsia="sv-SE"/>
        </w:rPr>
        <w:t>2024</w:t>
      </w:r>
      <w:r w:rsidR="005801A6">
        <w:rPr>
          <w:lang w:eastAsia="sv-SE"/>
        </w:rPr>
        <w:t xml:space="preserve">), </w:t>
      </w:r>
      <w:r w:rsidR="000362B2">
        <w:rPr>
          <w:lang w:eastAsia="sv-SE"/>
        </w:rPr>
        <w:t>t</w:t>
      </w:r>
      <w:r>
        <w:rPr>
          <w:lang w:eastAsia="sv-SE"/>
        </w:rPr>
        <w:t>eckningsoptioner</w:t>
      </w:r>
      <w:r w:rsidR="00111EF3">
        <w:rPr>
          <w:lang w:eastAsia="sv-SE"/>
        </w:rPr>
        <w:t>, (</w:t>
      </w:r>
      <w:r>
        <w:rPr>
          <w:lang w:eastAsia="sv-SE"/>
        </w:rPr>
        <w:t>TO</w:t>
      </w:r>
      <w:r w:rsidR="00162254">
        <w:rPr>
          <w:lang w:eastAsia="sv-SE"/>
        </w:rPr>
        <w:t>1, TO2 och TO3</w:t>
      </w:r>
      <w:r w:rsidR="00111EF3">
        <w:rPr>
          <w:lang w:eastAsia="sv-SE"/>
        </w:rPr>
        <w:t>)</w:t>
      </w:r>
      <w:r w:rsidR="00521D76">
        <w:rPr>
          <w:lang w:eastAsia="sv-SE"/>
        </w:rPr>
        <w:t>.</w:t>
      </w:r>
    </w:p>
    <w:p w14:paraId="2F82103A" w14:textId="42BDCB3D" w:rsidR="00945B3D" w:rsidRDefault="00936910" w:rsidP="00467002">
      <w:pPr>
        <w:pStyle w:val="Liststycke"/>
        <w:numPr>
          <w:ilvl w:val="0"/>
          <w:numId w:val="5"/>
        </w:numPr>
        <w:rPr>
          <w:lang w:eastAsia="sv-SE"/>
        </w:rPr>
      </w:pPr>
      <w:r>
        <w:rPr>
          <w:lang w:eastAsia="sv-SE"/>
        </w:rPr>
        <w:t>Begränsad möjlighet till</w:t>
      </w:r>
      <w:r w:rsidR="007C182C">
        <w:rPr>
          <w:lang w:eastAsia="sv-SE"/>
        </w:rPr>
        <w:t xml:space="preserve"> rörlig</w:t>
      </w:r>
      <w:r w:rsidR="00945B3D">
        <w:rPr>
          <w:lang w:eastAsia="sv-SE"/>
        </w:rPr>
        <w:t xml:space="preserve"> </w:t>
      </w:r>
      <w:r w:rsidR="00694D84">
        <w:rPr>
          <w:lang w:eastAsia="sv-SE"/>
        </w:rPr>
        <w:t>ersättning.</w:t>
      </w:r>
    </w:p>
    <w:p w14:paraId="54CBB261" w14:textId="77DC894C" w:rsidR="00C1012F" w:rsidRDefault="00467002" w:rsidP="00A93947">
      <w:pPr>
        <w:pStyle w:val="Liststycke"/>
        <w:numPr>
          <w:ilvl w:val="0"/>
          <w:numId w:val="5"/>
        </w:numPr>
        <w:rPr>
          <w:lang w:eastAsia="sv-SE"/>
        </w:rPr>
      </w:pPr>
      <w:r w:rsidRPr="0015100A">
        <w:rPr>
          <w:lang w:eastAsia="sv-SE"/>
        </w:rPr>
        <w:t xml:space="preserve">I </w:t>
      </w:r>
      <w:r>
        <w:rPr>
          <w:lang w:eastAsia="sv-SE"/>
        </w:rPr>
        <w:t>Bolaget</w:t>
      </w:r>
      <w:r w:rsidRPr="0015100A">
        <w:rPr>
          <w:lang w:eastAsia="sv-SE"/>
        </w:rPr>
        <w:t xml:space="preserve"> förekommer ej </w:t>
      </w:r>
      <w:proofErr w:type="spellStart"/>
      <w:r w:rsidRPr="0015100A">
        <w:rPr>
          <w:lang w:eastAsia="sv-SE"/>
        </w:rPr>
        <w:t>diskretionära</w:t>
      </w:r>
      <w:proofErr w:type="spellEnd"/>
      <w:r w:rsidRPr="0015100A">
        <w:rPr>
          <w:lang w:eastAsia="sv-SE"/>
        </w:rPr>
        <w:t xml:space="preserve"> pensionsförmåner.</w:t>
      </w:r>
    </w:p>
    <w:p w14:paraId="409BF75E" w14:textId="77777777" w:rsidR="00467002" w:rsidRDefault="00467002"/>
    <w:p w14:paraId="30921DD5" w14:textId="77777777" w:rsidR="0000378F" w:rsidRDefault="0000378F"/>
    <w:p w14:paraId="41519334" w14:textId="77777777" w:rsidR="0000378F" w:rsidRPr="00BD4C9B" w:rsidRDefault="0000378F" w:rsidP="00A93947"/>
    <w:p w14:paraId="78F41AE3" w14:textId="63FFB512" w:rsidR="006A5861" w:rsidRDefault="006A5861" w:rsidP="00AA1219">
      <w:pPr>
        <w:pStyle w:val="Rubrik1"/>
      </w:pPr>
      <w:bookmarkStart w:id="8" w:name="_Toc90642844"/>
      <w:r>
        <w:t>Beslutsprocessen</w:t>
      </w:r>
      <w:bookmarkEnd w:id="8"/>
    </w:p>
    <w:p w14:paraId="56386A95" w14:textId="224B0634" w:rsidR="0015100A" w:rsidRDefault="006A5861" w:rsidP="00965C94">
      <w:r>
        <w:t xml:space="preserve">Beslutsprocessen för </w:t>
      </w:r>
      <w:r w:rsidR="003E31F6">
        <w:t>Bolaget</w:t>
      </w:r>
      <w:r w:rsidR="00F01ECD">
        <w:t xml:space="preserve">s </w:t>
      </w:r>
      <w:r>
        <w:t xml:space="preserve">ersättningsregelverk och ersättningssystem fastställs av styrelsen efter beredande av </w:t>
      </w:r>
      <w:r w:rsidR="005801A6">
        <w:t>E</w:t>
      </w:r>
      <w:r w:rsidR="002F3FE8">
        <w:t>rsättningskommittén</w:t>
      </w:r>
      <w:r>
        <w:t xml:space="preserve">. </w:t>
      </w:r>
      <w:r w:rsidR="00673DC4">
        <w:t>Koncerninterna jurister</w:t>
      </w:r>
      <w:r>
        <w:t xml:space="preserve"> bevakar regelförändringar och föreslår löpande uppdateringar i </w:t>
      </w:r>
      <w:r w:rsidR="003E31F6">
        <w:t>Bolaget</w:t>
      </w:r>
      <w:r w:rsidR="00F01ECD">
        <w:t xml:space="preserve">s </w:t>
      </w:r>
      <w:r>
        <w:t xml:space="preserve">ersättningsregler. En översyn av regelverket sker minst en </w:t>
      </w:r>
      <w:r w:rsidR="009D319A">
        <w:t xml:space="preserve">(1) </w:t>
      </w:r>
      <w:r>
        <w:t xml:space="preserve">gång per år och därutöver i samband med förändringar av externa regler eller interna förutsättningar. Vid uppdatering av </w:t>
      </w:r>
      <w:r w:rsidR="00D131E6" w:rsidRPr="00A93947">
        <w:rPr>
          <w:i/>
          <w:iCs/>
        </w:rPr>
        <w:t>E</w:t>
      </w:r>
      <w:r w:rsidRPr="00A93947">
        <w:rPr>
          <w:i/>
        </w:rPr>
        <w:t>rsättningspolicy</w:t>
      </w:r>
      <w:r w:rsidR="00EB6ACF" w:rsidRPr="00A93947">
        <w:rPr>
          <w:i/>
        </w:rPr>
        <w:t>n</w:t>
      </w:r>
      <w:r>
        <w:t xml:space="preserve"> </w:t>
      </w:r>
      <w:r w:rsidR="00EB6ACF">
        <w:t>är</w:t>
      </w:r>
      <w:r>
        <w:t xml:space="preserve"> representanter från Risk</w:t>
      </w:r>
      <w:r w:rsidR="00C134B9">
        <w:t>kontrollfunktionen</w:t>
      </w:r>
      <w:r>
        <w:t xml:space="preserve"> och Compliance</w:t>
      </w:r>
      <w:r w:rsidR="00C134B9">
        <w:t>funktionen</w:t>
      </w:r>
      <w:r>
        <w:t xml:space="preserve"> delaktiga.</w:t>
      </w:r>
    </w:p>
    <w:p w14:paraId="1C0BD796" w14:textId="77777777" w:rsidR="00141984" w:rsidRPr="00965C94" w:rsidRDefault="00141984" w:rsidP="00965C94">
      <w:pPr>
        <w:rPr>
          <w:lang w:eastAsia="sv-SE"/>
        </w:rPr>
      </w:pPr>
    </w:p>
    <w:p w14:paraId="1D099C38" w14:textId="11F847D6" w:rsidR="0015100A" w:rsidRPr="00707E22" w:rsidRDefault="0015100A" w:rsidP="00AA1219">
      <w:pPr>
        <w:pStyle w:val="Rubrik1"/>
      </w:pPr>
      <w:bookmarkStart w:id="9" w:name="_Toc90642845"/>
      <w:r w:rsidRPr="0015100A">
        <w:t>Förbud mot vissa ersättningsformer</w:t>
      </w:r>
      <w:bookmarkEnd w:id="9"/>
    </w:p>
    <w:p w14:paraId="5CE2D65B" w14:textId="651E4456" w:rsidR="0015100A" w:rsidRDefault="003E31F6" w:rsidP="00707E22">
      <w:pPr>
        <w:rPr>
          <w:lang w:eastAsia="sv-SE"/>
        </w:rPr>
      </w:pPr>
      <w:r>
        <w:rPr>
          <w:lang w:eastAsia="sv-SE"/>
        </w:rPr>
        <w:t>Bolaget</w:t>
      </w:r>
      <w:r w:rsidR="00F01ECD">
        <w:rPr>
          <w:lang w:eastAsia="sv-SE"/>
        </w:rPr>
        <w:t>s</w:t>
      </w:r>
      <w:r w:rsidR="00F01ECD" w:rsidRPr="0015100A">
        <w:rPr>
          <w:lang w:eastAsia="sv-SE"/>
        </w:rPr>
        <w:t xml:space="preserve"> </w:t>
      </w:r>
      <w:r w:rsidR="0015100A" w:rsidRPr="0015100A">
        <w:rPr>
          <w:lang w:eastAsia="sv-SE"/>
        </w:rPr>
        <w:t>ersättningssystem är implementera</w:t>
      </w:r>
      <w:r w:rsidR="00E41161">
        <w:rPr>
          <w:lang w:eastAsia="sv-SE"/>
        </w:rPr>
        <w:t>t</w:t>
      </w:r>
      <w:r w:rsidR="0015100A" w:rsidRPr="0015100A">
        <w:rPr>
          <w:lang w:eastAsia="sv-SE"/>
        </w:rPr>
        <w:t xml:space="preserve"> i syfte att minimera risken för intressekonflikter och därmed skapa förutsättningar för att </w:t>
      </w:r>
      <w:r>
        <w:rPr>
          <w:lang w:eastAsia="sv-SE"/>
        </w:rPr>
        <w:t>Bolaget</w:t>
      </w:r>
      <w:r w:rsidR="00F01ECD" w:rsidRPr="0015100A">
        <w:rPr>
          <w:lang w:eastAsia="sv-SE"/>
        </w:rPr>
        <w:t xml:space="preserve"> </w:t>
      </w:r>
      <w:r w:rsidR="0015100A" w:rsidRPr="0015100A">
        <w:rPr>
          <w:lang w:eastAsia="sv-SE"/>
        </w:rPr>
        <w:t xml:space="preserve">ska kunna uppfylla sina skyldigheter att agera i kundernas intresse. I </w:t>
      </w:r>
      <w:r>
        <w:rPr>
          <w:lang w:eastAsia="sv-SE"/>
        </w:rPr>
        <w:t>Bolaget</w:t>
      </w:r>
      <w:r w:rsidR="00F01ECD" w:rsidRPr="0015100A">
        <w:rPr>
          <w:lang w:eastAsia="sv-SE"/>
        </w:rPr>
        <w:t xml:space="preserve"> </w:t>
      </w:r>
      <w:r w:rsidR="0015100A" w:rsidRPr="0015100A">
        <w:rPr>
          <w:lang w:eastAsia="sv-SE"/>
        </w:rPr>
        <w:t xml:space="preserve">råder förbud mot följande former av ersättningssystem. </w:t>
      </w:r>
    </w:p>
    <w:p w14:paraId="2CDD6C85" w14:textId="77777777" w:rsidR="00141984" w:rsidRPr="0015100A" w:rsidRDefault="00141984" w:rsidP="00707E22">
      <w:pPr>
        <w:rPr>
          <w:lang w:eastAsia="sv-SE"/>
        </w:rPr>
      </w:pPr>
    </w:p>
    <w:p w14:paraId="2417F02F" w14:textId="3ABBE0B2" w:rsidR="00227A04" w:rsidRPr="0015100A" w:rsidRDefault="00227A04" w:rsidP="005A3E18">
      <w:pPr>
        <w:rPr>
          <w:lang w:eastAsia="sv-SE"/>
        </w:rPr>
      </w:pPr>
      <w:r w:rsidRPr="4983D9C9">
        <w:rPr>
          <w:lang w:eastAsia="sv-SE"/>
        </w:rPr>
        <w:t>Bolagets ersättningssystem</w:t>
      </w:r>
      <w:r>
        <w:rPr>
          <w:lang w:eastAsia="sv-SE"/>
        </w:rPr>
        <w:t>:</w:t>
      </w:r>
    </w:p>
    <w:p w14:paraId="518EE4D2" w14:textId="0294F0E8" w:rsidR="0015100A" w:rsidRPr="0015100A" w:rsidRDefault="0015100A" w:rsidP="002F2B19">
      <w:pPr>
        <w:pStyle w:val="Liststycke"/>
        <w:numPr>
          <w:ilvl w:val="0"/>
          <w:numId w:val="5"/>
        </w:numPr>
        <w:rPr>
          <w:lang w:eastAsia="sv-SE"/>
        </w:rPr>
      </w:pPr>
      <w:r w:rsidRPr="0015100A">
        <w:rPr>
          <w:lang w:eastAsia="sv-SE"/>
        </w:rPr>
        <w:t xml:space="preserve">får inte vara utformade så att det skapar intressekonflikter som kan leda till att anställda gynnar sina egna intressen eller </w:t>
      </w:r>
      <w:r w:rsidR="003E31F6">
        <w:rPr>
          <w:lang w:eastAsia="sv-SE"/>
        </w:rPr>
        <w:t>Bolaget</w:t>
      </w:r>
      <w:r w:rsidR="00F01ECD">
        <w:rPr>
          <w:lang w:eastAsia="sv-SE"/>
        </w:rPr>
        <w:t>s</w:t>
      </w:r>
      <w:r w:rsidR="00F01ECD" w:rsidRPr="0015100A">
        <w:rPr>
          <w:lang w:eastAsia="sv-SE"/>
        </w:rPr>
        <w:t xml:space="preserve"> </w:t>
      </w:r>
      <w:r w:rsidRPr="0015100A">
        <w:rPr>
          <w:lang w:eastAsia="sv-SE"/>
        </w:rPr>
        <w:t>intressen till potentiell nackdel för kunderna,</w:t>
      </w:r>
    </w:p>
    <w:p w14:paraId="71ED3449" w14:textId="703167CE" w:rsidR="0015100A" w:rsidRDefault="0015100A" w:rsidP="002F2B19">
      <w:pPr>
        <w:pStyle w:val="Liststycke"/>
        <w:numPr>
          <w:ilvl w:val="0"/>
          <w:numId w:val="5"/>
        </w:numPr>
        <w:rPr>
          <w:lang w:eastAsia="sv-SE"/>
        </w:rPr>
      </w:pPr>
      <w:r w:rsidRPr="0015100A">
        <w:rPr>
          <w:lang w:eastAsia="sv-SE"/>
        </w:rPr>
        <w:t xml:space="preserve">får inte utformas så att fast ersättning kan variera (upp och ned) utifrån den anställdes förmåga att uppnå </w:t>
      </w:r>
      <w:r w:rsidR="003E31F6">
        <w:rPr>
          <w:lang w:eastAsia="sv-SE"/>
        </w:rPr>
        <w:t>Bolaget</w:t>
      </w:r>
      <w:r w:rsidR="00F01ECD">
        <w:rPr>
          <w:lang w:eastAsia="sv-SE"/>
        </w:rPr>
        <w:t>s</w:t>
      </w:r>
      <w:r w:rsidR="00F01ECD" w:rsidRPr="0015100A">
        <w:rPr>
          <w:lang w:eastAsia="sv-SE"/>
        </w:rPr>
        <w:t xml:space="preserve"> </w:t>
      </w:r>
      <w:r w:rsidRPr="0015100A">
        <w:rPr>
          <w:lang w:eastAsia="sv-SE"/>
        </w:rPr>
        <w:t>intäktsmål, exempelvis genom att villkoren för rörlig ersättning innebär att den anställdes fasta ersättning minskar kraftigt om målen inte uppnås.</w:t>
      </w:r>
    </w:p>
    <w:p w14:paraId="09EC9124" w14:textId="77777777" w:rsidR="00141984" w:rsidRPr="0015100A" w:rsidRDefault="00141984" w:rsidP="00141984">
      <w:pPr>
        <w:rPr>
          <w:lang w:eastAsia="sv-SE"/>
        </w:rPr>
      </w:pPr>
    </w:p>
    <w:p w14:paraId="5FC90731" w14:textId="153DBA10" w:rsidR="0015100A" w:rsidRPr="00707E22" w:rsidRDefault="0015100A" w:rsidP="00AA1219">
      <w:pPr>
        <w:pStyle w:val="Rubrik1"/>
      </w:pPr>
      <w:bookmarkStart w:id="10" w:name="_Toc90642846"/>
      <w:r w:rsidRPr="0015100A">
        <w:t>Omfattning och allmänna ersättningsprinciper</w:t>
      </w:r>
      <w:bookmarkEnd w:id="10"/>
    </w:p>
    <w:p w14:paraId="4CED2145" w14:textId="64C491A1" w:rsidR="0015100A" w:rsidRDefault="0015100A" w:rsidP="00707E22">
      <w:pPr>
        <w:rPr>
          <w:lang w:eastAsia="sv-SE"/>
        </w:rPr>
      </w:pPr>
      <w:r w:rsidRPr="00A93947">
        <w:rPr>
          <w:i/>
          <w:lang w:eastAsia="sv-SE"/>
        </w:rPr>
        <w:t xml:space="preserve">Ersättningspolicyn </w:t>
      </w:r>
      <w:r w:rsidRPr="0015100A">
        <w:rPr>
          <w:lang w:eastAsia="sv-SE"/>
        </w:rPr>
        <w:t>omfattar samtliga anställda. Samtliga anställda</w:t>
      </w:r>
      <w:r w:rsidR="00BC5522">
        <w:rPr>
          <w:lang w:eastAsia="sv-SE"/>
        </w:rPr>
        <w:t xml:space="preserve"> </w:t>
      </w:r>
      <w:r w:rsidRPr="0015100A">
        <w:rPr>
          <w:lang w:eastAsia="sv-SE"/>
        </w:rPr>
        <w:t>erhåller fast lön med möjlighet till rörlig ersättning</w:t>
      </w:r>
      <w:r w:rsidR="0086468C">
        <w:rPr>
          <w:lang w:eastAsia="sv-SE"/>
        </w:rPr>
        <w:t>.</w:t>
      </w:r>
      <w:r w:rsidR="006B0BB3">
        <w:rPr>
          <w:lang w:eastAsia="sv-SE"/>
        </w:rPr>
        <w:t xml:space="preserve"> </w:t>
      </w:r>
    </w:p>
    <w:p w14:paraId="047394EA" w14:textId="77777777" w:rsidR="00141984" w:rsidRPr="0015100A" w:rsidRDefault="00141984" w:rsidP="00707E22">
      <w:pPr>
        <w:rPr>
          <w:lang w:eastAsia="sv-SE"/>
        </w:rPr>
      </w:pPr>
    </w:p>
    <w:p w14:paraId="7B0E4607" w14:textId="3DE15642" w:rsidR="0015100A" w:rsidRDefault="0015100A" w:rsidP="00707E22">
      <w:pPr>
        <w:rPr>
          <w:lang w:eastAsia="sv-SE"/>
        </w:rPr>
      </w:pPr>
      <w:r w:rsidRPr="0015100A">
        <w:rPr>
          <w:lang w:eastAsia="sv-SE"/>
        </w:rPr>
        <w:t xml:space="preserve">Ersättningssystemet som </w:t>
      </w:r>
      <w:r w:rsidR="00A64D91">
        <w:rPr>
          <w:lang w:eastAsia="sv-SE"/>
        </w:rPr>
        <w:t>förekommer</w:t>
      </w:r>
      <w:r w:rsidRPr="0015100A">
        <w:rPr>
          <w:lang w:eastAsia="sv-SE"/>
        </w:rPr>
        <w:t xml:space="preserve"> i </w:t>
      </w:r>
      <w:r w:rsidR="003E31F6">
        <w:rPr>
          <w:lang w:eastAsia="sv-SE"/>
        </w:rPr>
        <w:t>Bolaget</w:t>
      </w:r>
      <w:r w:rsidR="0086468C" w:rsidRPr="0015100A">
        <w:rPr>
          <w:lang w:eastAsia="sv-SE"/>
        </w:rPr>
        <w:t xml:space="preserve"> </w:t>
      </w:r>
      <w:r w:rsidRPr="0015100A">
        <w:rPr>
          <w:lang w:eastAsia="sv-SE"/>
        </w:rPr>
        <w:t xml:space="preserve">ska ha en lämplig balans mellan fasta och rörliga delar. De fasta delarna ska stå för en tillräckligt stor del av den anställdes totala ersättning för att det ska vara möjligt att sätta de rörliga delarna till noll. För anställda som erhåller rörlig ersättning ska den rörliga ersättningen inte i något fall vara större än den fasta ersättningen. Detta innebär att </w:t>
      </w:r>
      <w:r w:rsidR="003E31F6">
        <w:rPr>
          <w:lang w:eastAsia="sv-SE"/>
        </w:rPr>
        <w:t>Bolaget</w:t>
      </w:r>
      <w:r w:rsidR="0086468C" w:rsidRPr="0015100A">
        <w:rPr>
          <w:lang w:eastAsia="sv-SE"/>
        </w:rPr>
        <w:t xml:space="preserve"> </w:t>
      </w:r>
      <w:r w:rsidRPr="0015100A">
        <w:rPr>
          <w:lang w:eastAsia="sv-SE"/>
        </w:rPr>
        <w:t>har fastställt den maximala kvoten mellan fast och rörlig ersättning till 10% för samtliga anställda, dock högst 100 000 kronor per anställd och år.</w:t>
      </w:r>
    </w:p>
    <w:p w14:paraId="6701626D" w14:textId="77777777" w:rsidR="00141984" w:rsidRPr="00707E22" w:rsidRDefault="00141984" w:rsidP="00707E22">
      <w:pPr>
        <w:rPr>
          <w:lang w:eastAsia="sv-SE"/>
        </w:rPr>
      </w:pPr>
    </w:p>
    <w:p w14:paraId="647EFF45" w14:textId="4A489637" w:rsidR="0015100A" w:rsidRDefault="00900A36" w:rsidP="00707E22">
      <w:pPr>
        <w:rPr>
          <w:lang w:eastAsia="sv-SE"/>
        </w:rPr>
      </w:pPr>
      <w:r>
        <w:rPr>
          <w:lang w:eastAsia="sv-SE"/>
        </w:rPr>
        <w:t>Ersättningskommittén ska</w:t>
      </w:r>
      <w:r w:rsidR="0015100A" w:rsidRPr="0015100A">
        <w:rPr>
          <w:lang w:eastAsia="sv-SE"/>
        </w:rPr>
        <w:t xml:space="preserve"> bereda </w:t>
      </w:r>
      <w:r w:rsidR="009C43B6">
        <w:rPr>
          <w:lang w:eastAsia="sv-SE"/>
        </w:rPr>
        <w:t>styrelse</w:t>
      </w:r>
      <w:r w:rsidR="00361B5B">
        <w:rPr>
          <w:lang w:eastAsia="sv-SE"/>
        </w:rPr>
        <w:t>ns</w:t>
      </w:r>
      <w:r w:rsidR="009C43B6">
        <w:rPr>
          <w:lang w:eastAsia="sv-SE"/>
        </w:rPr>
        <w:t xml:space="preserve"> </w:t>
      </w:r>
      <w:r w:rsidR="0015100A" w:rsidRPr="0015100A">
        <w:rPr>
          <w:lang w:eastAsia="sv-SE"/>
        </w:rPr>
        <w:t xml:space="preserve">beslut om ersättning till </w:t>
      </w:r>
      <w:r w:rsidR="00727217">
        <w:rPr>
          <w:lang w:eastAsia="sv-SE"/>
        </w:rPr>
        <w:t>r</w:t>
      </w:r>
      <w:r w:rsidR="00AC78CE">
        <w:rPr>
          <w:lang w:eastAsia="sv-SE"/>
        </w:rPr>
        <w:t>iskpåverkande personal</w:t>
      </w:r>
      <w:r w:rsidR="00A64D91">
        <w:rPr>
          <w:lang w:eastAsia="sv-SE"/>
        </w:rPr>
        <w:t xml:space="preserve"> i </w:t>
      </w:r>
      <w:r w:rsidR="003E31F6">
        <w:rPr>
          <w:lang w:eastAsia="sv-SE"/>
        </w:rPr>
        <w:t>Bolaget</w:t>
      </w:r>
      <w:r w:rsidR="00756E45">
        <w:rPr>
          <w:lang w:eastAsia="sv-SE"/>
        </w:rPr>
        <w:t xml:space="preserve"> </w:t>
      </w:r>
      <w:r w:rsidR="00AC78CE">
        <w:rPr>
          <w:lang w:eastAsia="sv-SE"/>
        </w:rPr>
        <w:t>(</w:t>
      </w:r>
      <w:proofErr w:type="gramStart"/>
      <w:r w:rsidR="00AC78CE">
        <w:rPr>
          <w:lang w:eastAsia="sv-SE"/>
        </w:rPr>
        <w:t>bl.a.</w:t>
      </w:r>
      <w:proofErr w:type="gramEnd"/>
      <w:r w:rsidR="00AC78CE">
        <w:rPr>
          <w:lang w:eastAsia="sv-SE"/>
        </w:rPr>
        <w:t xml:space="preserve"> v</w:t>
      </w:r>
      <w:r w:rsidR="0015100A" w:rsidRPr="0015100A">
        <w:rPr>
          <w:lang w:eastAsia="sv-SE"/>
        </w:rPr>
        <w:t>erkställande ledning, nyckelpersoner och anställda som innehar det övergripande ansvaret för kontrollfunktioner</w:t>
      </w:r>
      <w:r w:rsidR="00AC78CE">
        <w:rPr>
          <w:lang w:eastAsia="sv-SE"/>
        </w:rPr>
        <w:t>)</w:t>
      </w:r>
      <w:r w:rsidR="0015100A" w:rsidRPr="0015100A">
        <w:rPr>
          <w:lang w:eastAsia="sv-SE"/>
        </w:rPr>
        <w:t xml:space="preserve">. </w:t>
      </w:r>
      <w:r w:rsidR="001F51BB">
        <w:rPr>
          <w:lang w:eastAsia="sv-SE"/>
        </w:rPr>
        <w:t xml:space="preserve">Ersättningskommittén ska </w:t>
      </w:r>
      <w:r w:rsidR="0015100A" w:rsidRPr="0015100A">
        <w:rPr>
          <w:lang w:eastAsia="sv-SE"/>
        </w:rPr>
        <w:t xml:space="preserve">utföra årlig bedömning av </w:t>
      </w:r>
      <w:r w:rsidR="003E31F6">
        <w:rPr>
          <w:lang w:eastAsia="sv-SE"/>
        </w:rPr>
        <w:t>Bolaget</w:t>
      </w:r>
      <w:r w:rsidR="00756E45">
        <w:rPr>
          <w:lang w:eastAsia="sv-SE"/>
        </w:rPr>
        <w:t>s</w:t>
      </w:r>
      <w:r w:rsidR="00756E45" w:rsidRPr="0015100A">
        <w:rPr>
          <w:lang w:eastAsia="sv-SE"/>
        </w:rPr>
        <w:t xml:space="preserve"> </w:t>
      </w:r>
      <w:r w:rsidR="00AD0E3D" w:rsidRPr="00A93947">
        <w:rPr>
          <w:i/>
          <w:iCs/>
          <w:lang w:eastAsia="sv-SE"/>
        </w:rPr>
        <w:t>E</w:t>
      </w:r>
      <w:r w:rsidR="0015100A" w:rsidRPr="00A93947">
        <w:rPr>
          <w:i/>
          <w:lang w:eastAsia="sv-SE"/>
        </w:rPr>
        <w:t xml:space="preserve">rsättningspolicy </w:t>
      </w:r>
      <w:r w:rsidR="00CB48BF">
        <w:rPr>
          <w:lang w:eastAsia="sv-SE"/>
        </w:rPr>
        <w:t>och</w:t>
      </w:r>
      <w:r w:rsidR="0015100A" w:rsidRPr="0015100A">
        <w:rPr>
          <w:lang w:eastAsia="sv-SE"/>
        </w:rPr>
        <w:t xml:space="preserve"> ersättningssystem inför </w:t>
      </w:r>
      <w:r w:rsidR="00CB48BF">
        <w:rPr>
          <w:lang w:eastAsia="sv-SE"/>
        </w:rPr>
        <w:t xml:space="preserve">att styrelsen </w:t>
      </w:r>
      <w:r w:rsidR="00361B5B">
        <w:rPr>
          <w:lang w:eastAsia="sv-SE"/>
        </w:rPr>
        <w:t xml:space="preserve">ska ta </w:t>
      </w:r>
      <w:r w:rsidR="0015100A" w:rsidRPr="0015100A">
        <w:rPr>
          <w:lang w:eastAsia="sv-SE"/>
        </w:rPr>
        <w:t>beslut kring dessa.</w:t>
      </w:r>
    </w:p>
    <w:p w14:paraId="687691BC" w14:textId="77777777" w:rsidR="00141984" w:rsidRPr="0015100A" w:rsidRDefault="00141984" w:rsidP="00707E22">
      <w:pPr>
        <w:rPr>
          <w:lang w:eastAsia="sv-SE"/>
        </w:rPr>
      </w:pPr>
    </w:p>
    <w:p w14:paraId="0F74D902" w14:textId="77777777" w:rsidR="0015100A" w:rsidRPr="0015100A" w:rsidRDefault="0015100A" w:rsidP="00EE6729">
      <w:pPr>
        <w:rPr>
          <w:b/>
          <w:bCs/>
          <w:lang w:eastAsia="sv-SE"/>
        </w:rPr>
      </w:pPr>
      <w:r w:rsidRPr="0015100A">
        <w:rPr>
          <w:b/>
          <w:bCs/>
          <w:lang w:eastAsia="sv-SE"/>
        </w:rPr>
        <w:t>Fast ersättning</w:t>
      </w:r>
    </w:p>
    <w:p w14:paraId="2CF18458" w14:textId="5E7A5A8C" w:rsidR="0015100A" w:rsidRDefault="0015100A" w:rsidP="00707E22">
      <w:pPr>
        <w:rPr>
          <w:lang w:eastAsia="sv-SE"/>
        </w:rPr>
      </w:pPr>
      <w:r w:rsidRPr="0015100A">
        <w:rPr>
          <w:lang w:eastAsia="sv-SE"/>
        </w:rPr>
        <w:t xml:space="preserve">Den fasta ersättning som utgår till </w:t>
      </w:r>
      <w:r w:rsidR="003E31F6">
        <w:rPr>
          <w:lang w:eastAsia="sv-SE"/>
        </w:rPr>
        <w:t>Bolaget</w:t>
      </w:r>
      <w:r w:rsidR="00603A2A">
        <w:rPr>
          <w:lang w:eastAsia="sv-SE"/>
        </w:rPr>
        <w:t>s</w:t>
      </w:r>
      <w:r w:rsidR="00603A2A" w:rsidRPr="0015100A">
        <w:rPr>
          <w:lang w:eastAsia="sv-SE"/>
        </w:rPr>
        <w:t xml:space="preserve"> </w:t>
      </w:r>
      <w:r w:rsidRPr="0015100A">
        <w:rPr>
          <w:lang w:eastAsia="sv-SE"/>
        </w:rPr>
        <w:t>anställda ska vara marknadsmässig och grundas på bland annat befattning, arbetsbelastning, kvalifikation och ansvarsområde.</w:t>
      </w:r>
    </w:p>
    <w:p w14:paraId="515A8556" w14:textId="77777777" w:rsidR="00141984" w:rsidRPr="0015100A" w:rsidRDefault="00141984" w:rsidP="00707E22">
      <w:pPr>
        <w:rPr>
          <w:lang w:eastAsia="sv-SE"/>
        </w:rPr>
      </w:pPr>
    </w:p>
    <w:p w14:paraId="65481D27" w14:textId="609837F3" w:rsidR="0015100A" w:rsidRDefault="0015100A" w:rsidP="00707E22">
      <w:pPr>
        <w:rPr>
          <w:lang w:eastAsia="sv-SE"/>
        </w:rPr>
      </w:pPr>
      <w:r w:rsidRPr="0015100A">
        <w:rPr>
          <w:lang w:eastAsia="sv-SE"/>
        </w:rPr>
        <w:lastRenderedPageBreak/>
        <w:t xml:space="preserve">Lönen ska fastställas individuellt för anställda. </w:t>
      </w:r>
      <w:r w:rsidR="003E31F6">
        <w:rPr>
          <w:lang w:eastAsia="sv-SE"/>
        </w:rPr>
        <w:t>Bolaget</w:t>
      </w:r>
      <w:r w:rsidR="00603A2A">
        <w:rPr>
          <w:lang w:eastAsia="sv-SE"/>
        </w:rPr>
        <w:t>s</w:t>
      </w:r>
      <w:r w:rsidR="00603A2A" w:rsidRPr="0015100A">
        <w:rPr>
          <w:lang w:eastAsia="sv-SE"/>
        </w:rPr>
        <w:t xml:space="preserve"> </w:t>
      </w:r>
      <w:r w:rsidRPr="0015100A">
        <w:rPr>
          <w:lang w:eastAsia="sv-SE"/>
        </w:rPr>
        <w:t xml:space="preserve">ersättningsbestämmelser bedöms medföra att höjning av lön </w:t>
      </w:r>
      <w:r w:rsidR="0036466B">
        <w:rPr>
          <w:lang w:eastAsia="sv-SE"/>
        </w:rPr>
        <w:t>inte</w:t>
      </w:r>
      <w:r w:rsidRPr="0015100A">
        <w:rPr>
          <w:lang w:eastAsia="sv-SE"/>
        </w:rPr>
        <w:t xml:space="preserve"> kan utgå för sådana prestationer som skulle kunna riskera att </w:t>
      </w:r>
      <w:r w:rsidR="003E31F6">
        <w:rPr>
          <w:lang w:eastAsia="sv-SE"/>
        </w:rPr>
        <w:t>Bolaget</w:t>
      </w:r>
      <w:r w:rsidR="00603A2A">
        <w:rPr>
          <w:lang w:eastAsia="sv-SE"/>
        </w:rPr>
        <w:t>s</w:t>
      </w:r>
      <w:r w:rsidR="00603A2A" w:rsidRPr="0015100A">
        <w:rPr>
          <w:lang w:eastAsia="sv-SE"/>
        </w:rPr>
        <w:t xml:space="preserve"> </w:t>
      </w:r>
      <w:r w:rsidRPr="0015100A">
        <w:rPr>
          <w:lang w:eastAsia="sv-SE"/>
        </w:rPr>
        <w:t xml:space="preserve">personal inte agerar för kunds bästa. </w:t>
      </w:r>
    </w:p>
    <w:p w14:paraId="371F51C1" w14:textId="77777777" w:rsidR="00141984" w:rsidRPr="00707E22" w:rsidRDefault="00141984" w:rsidP="00707E22">
      <w:pPr>
        <w:rPr>
          <w:i/>
          <w:lang w:eastAsia="sv-SE"/>
        </w:rPr>
      </w:pPr>
    </w:p>
    <w:p w14:paraId="21817CE7" w14:textId="47903713" w:rsidR="0015100A" w:rsidRDefault="0015100A" w:rsidP="00707E22">
      <w:pPr>
        <w:rPr>
          <w:lang w:eastAsia="sv-SE"/>
        </w:rPr>
      </w:pPr>
      <w:r w:rsidRPr="0015100A">
        <w:rPr>
          <w:lang w:eastAsia="sv-SE"/>
        </w:rPr>
        <w:t xml:space="preserve">Lönesättningen ska vara konsekvent, tydlig och långsiktig. Den ska grundas på klara och tydliga, på förhand kända, </w:t>
      </w:r>
      <w:proofErr w:type="spellStart"/>
      <w:r w:rsidRPr="0015100A">
        <w:rPr>
          <w:lang w:eastAsia="sv-SE"/>
        </w:rPr>
        <w:t>löneprinciper</w:t>
      </w:r>
      <w:proofErr w:type="spellEnd"/>
      <w:r w:rsidRPr="0015100A">
        <w:rPr>
          <w:lang w:eastAsia="sv-SE"/>
        </w:rPr>
        <w:t>. Arbetskrav och förväntningar på uppnått resultat ska vara kända för den enskilda medarbetaren. Kriterierna ska tillämpas så att de främjar samarbete och inte konkurrens.</w:t>
      </w:r>
    </w:p>
    <w:p w14:paraId="029DA534" w14:textId="77777777" w:rsidR="00141984" w:rsidRPr="0015100A" w:rsidRDefault="00141984" w:rsidP="00707E22">
      <w:pPr>
        <w:rPr>
          <w:lang w:eastAsia="sv-SE"/>
        </w:rPr>
      </w:pPr>
    </w:p>
    <w:p w14:paraId="70966EAD" w14:textId="34AA1C6E" w:rsidR="0015100A" w:rsidRDefault="0015100A" w:rsidP="00707E22">
      <w:pPr>
        <w:rPr>
          <w:lang w:eastAsia="sv-SE"/>
        </w:rPr>
      </w:pPr>
      <w:r w:rsidRPr="0015100A">
        <w:rPr>
          <w:lang w:eastAsia="sv-SE"/>
        </w:rPr>
        <w:t xml:space="preserve">Varje individuell lön ska vara kommunicerad genom att lönesamtal förts mellan medarbetare och </w:t>
      </w:r>
      <w:r w:rsidR="00361B5B">
        <w:rPr>
          <w:lang w:eastAsia="sv-SE"/>
        </w:rPr>
        <w:t xml:space="preserve">dennes </w:t>
      </w:r>
      <w:r w:rsidRPr="0015100A">
        <w:rPr>
          <w:lang w:eastAsia="sv-SE"/>
        </w:rPr>
        <w:t>chef.</w:t>
      </w:r>
    </w:p>
    <w:p w14:paraId="22D7C16E" w14:textId="77777777" w:rsidR="00D95A38" w:rsidRDefault="00D95A38" w:rsidP="00707E22">
      <w:pPr>
        <w:rPr>
          <w:lang w:eastAsia="sv-SE"/>
        </w:rPr>
      </w:pPr>
    </w:p>
    <w:p w14:paraId="084E1586" w14:textId="6B8825DB" w:rsidR="00141984" w:rsidRDefault="00D95A38" w:rsidP="00707E22">
      <w:pPr>
        <w:rPr>
          <w:lang w:eastAsia="sv-SE"/>
        </w:rPr>
      </w:pPr>
      <w:r>
        <w:rPr>
          <w:lang w:eastAsia="sv-SE"/>
        </w:rPr>
        <w:t xml:space="preserve">För </w:t>
      </w:r>
      <w:r w:rsidR="00D31DBC">
        <w:rPr>
          <w:lang w:eastAsia="sv-SE"/>
        </w:rPr>
        <w:t>r</w:t>
      </w:r>
      <w:r>
        <w:rPr>
          <w:lang w:eastAsia="sv-SE"/>
        </w:rPr>
        <w:t xml:space="preserve">iskpåverkande personal </w:t>
      </w:r>
      <w:r w:rsidR="00BB0080">
        <w:rPr>
          <w:lang w:eastAsia="sv-SE"/>
        </w:rPr>
        <w:t>bereds</w:t>
      </w:r>
      <w:r>
        <w:rPr>
          <w:lang w:eastAsia="sv-SE"/>
        </w:rPr>
        <w:t xml:space="preserve"> </w:t>
      </w:r>
      <w:r w:rsidR="00BB0080">
        <w:rPr>
          <w:lang w:eastAsia="sv-SE"/>
        </w:rPr>
        <w:t xml:space="preserve">deras </w:t>
      </w:r>
      <w:r w:rsidR="0071725E">
        <w:rPr>
          <w:lang w:eastAsia="sv-SE"/>
        </w:rPr>
        <w:t xml:space="preserve">ersättning av </w:t>
      </w:r>
      <w:r w:rsidR="00E84AB1">
        <w:rPr>
          <w:lang w:eastAsia="sv-SE"/>
        </w:rPr>
        <w:t>E</w:t>
      </w:r>
      <w:r w:rsidR="0071725E">
        <w:rPr>
          <w:lang w:eastAsia="sv-SE"/>
        </w:rPr>
        <w:t>rsättningskommittén</w:t>
      </w:r>
      <w:r w:rsidR="00BB0080">
        <w:rPr>
          <w:lang w:eastAsia="sv-SE"/>
        </w:rPr>
        <w:t xml:space="preserve"> och beslut tas av styrelsen.</w:t>
      </w:r>
    </w:p>
    <w:p w14:paraId="01EA9D54" w14:textId="77777777" w:rsidR="00E03F6F" w:rsidRPr="0015100A" w:rsidRDefault="00E03F6F" w:rsidP="00707E22">
      <w:pPr>
        <w:rPr>
          <w:lang w:eastAsia="sv-SE"/>
        </w:rPr>
      </w:pPr>
    </w:p>
    <w:p w14:paraId="5620C4C7" w14:textId="77777777" w:rsidR="0015100A" w:rsidRPr="0015100A" w:rsidRDefault="0015100A" w:rsidP="00EE6729">
      <w:pPr>
        <w:rPr>
          <w:b/>
          <w:bCs/>
          <w:lang w:eastAsia="sv-SE"/>
        </w:rPr>
      </w:pPr>
      <w:r w:rsidRPr="0015100A">
        <w:rPr>
          <w:b/>
          <w:bCs/>
          <w:lang w:eastAsia="sv-SE"/>
        </w:rPr>
        <w:t xml:space="preserve">Rörlig ersättning </w:t>
      </w:r>
    </w:p>
    <w:p w14:paraId="7F1B876D" w14:textId="25379AF6" w:rsidR="00537672" w:rsidRDefault="0015100A" w:rsidP="00537672">
      <w:pPr>
        <w:rPr>
          <w:lang w:eastAsia="sv-SE"/>
        </w:rPr>
      </w:pPr>
      <w:r w:rsidRPr="0015100A">
        <w:rPr>
          <w:lang w:eastAsia="sv-SE"/>
        </w:rPr>
        <w:t>Styrelse</w:t>
      </w:r>
      <w:r w:rsidR="002679BC">
        <w:rPr>
          <w:lang w:eastAsia="sv-SE"/>
        </w:rPr>
        <w:t>n</w:t>
      </w:r>
      <w:r w:rsidR="00337A2D">
        <w:rPr>
          <w:lang w:eastAsia="sv-SE"/>
        </w:rPr>
        <w:t xml:space="preserve"> </w:t>
      </w:r>
      <w:r w:rsidR="00E5180D">
        <w:rPr>
          <w:lang w:eastAsia="sv-SE"/>
        </w:rPr>
        <w:t xml:space="preserve">i SPGR </w:t>
      </w:r>
      <w:r w:rsidRPr="0015100A">
        <w:rPr>
          <w:lang w:eastAsia="sv-SE"/>
        </w:rPr>
        <w:t>avsätter årligen ett totalbelopp för rörliga ersättningar</w:t>
      </w:r>
      <w:r w:rsidR="00337A2D">
        <w:rPr>
          <w:lang w:eastAsia="sv-SE"/>
        </w:rPr>
        <w:t xml:space="preserve"> för Koncernen</w:t>
      </w:r>
      <w:r w:rsidR="0062388D">
        <w:rPr>
          <w:lang w:eastAsia="sv-SE"/>
        </w:rPr>
        <w:t>.</w:t>
      </w:r>
      <w:r w:rsidRPr="0015100A">
        <w:rPr>
          <w:lang w:eastAsia="sv-SE"/>
        </w:rPr>
        <w:t xml:space="preserve"> Det totala beloppet som kan avsättas ska ta hänsyn till </w:t>
      </w:r>
      <w:proofErr w:type="spellStart"/>
      <w:proofErr w:type="gramStart"/>
      <w:r w:rsidR="00BC5522">
        <w:rPr>
          <w:lang w:eastAsia="sv-SE"/>
        </w:rPr>
        <w:t>SPGR</w:t>
      </w:r>
      <w:r w:rsidRPr="0015100A">
        <w:rPr>
          <w:lang w:eastAsia="sv-SE"/>
        </w:rPr>
        <w:t>s</w:t>
      </w:r>
      <w:proofErr w:type="spellEnd"/>
      <w:proofErr w:type="gramEnd"/>
      <w:r w:rsidRPr="0015100A">
        <w:rPr>
          <w:lang w:eastAsia="sv-SE"/>
        </w:rPr>
        <w:t xml:space="preserve"> resultat och en analys av </w:t>
      </w:r>
      <w:proofErr w:type="spellStart"/>
      <w:r w:rsidR="00BC5522">
        <w:rPr>
          <w:lang w:eastAsia="sv-SE"/>
        </w:rPr>
        <w:t>SPGR</w:t>
      </w:r>
      <w:r w:rsidRPr="0015100A">
        <w:rPr>
          <w:lang w:eastAsia="sv-SE"/>
        </w:rPr>
        <w:t>s</w:t>
      </w:r>
      <w:proofErr w:type="spellEnd"/>
      <w:r w:rsidRPr="0015100A">
        <w:rPr>
          <w:lang w:eastAsia="sv-SE"/>
        </w:rPr>
        <w:t xml:space="preserve"> risker och kommande behov. Avsatt totalbelopp för rörliga ersättningar kommer inte att vara pensions- eller semestergrundande däremot kommer sociala avgifter inkluderas.</w:t>
      </w:r>
      <w:r w:rsidR="001E78EC">
        <w:rPr>
          <w:lang w:eastAsia="sv-SE"/>
        </w:rPr>
        <w:t xml:space="preserve"> </w:t>
      </w:r>
      <w:r w:rsidR="00361B5B">
        <w:rPr>
          <w:lang w:eastAsia="sv-SE"/>
        </w:rPr>
        <w:t>Koncernledning</w:t>
      </w:r>
      <w:r w:rsidRPr="0015100A">
        <w:rPr>
          <w:lang w:eastAsia="sv-SE"/>
        </w:rPr>
        <w:t xml:space="preserve"> har inte rätt till rörlig ersättning.</w:t>
      </w:r>
      <w:r w:rsidR="00F157E2">
        <w:rPr>
          <w:lang w:eastAsia="sv-SE"/>
        </w:rPr>
        <w:t xml:space="preserve"> </w:t>
      </w:r>
      <w:r w:rsidR="00537672" w:rsidRPr="0015100A">
        <w:rPr>
          <w:lang w:eastAsia="sv-SE"/>
        </w:rPr>
        <w:t xml:space="preserve">Vid beräkning av vilket belopp som totalt finns tillgängligt att betalas ut i rörlig ersättning för </w:t>
      </w:r>
      <w:r w:rsidR="003E31F6">
        <w:rPr>
          <w:lang w:eastAsia="sv-SE"/>
        </w:rPr>
        <w:t>Bolaget</w:t>
      </w:r>
      <w:r w:rsidR="00537672" w:rsidRPr="0015100A">
        <w:rPr>
          <w:lang w:eastAsia="sv-SE"/>
        </w:rPr>
        <w:t xml:space="preserve"> beräknas </w:t>
      </w:r>
      <w:proofErr w:type="spellStart"/>
      <w:proofErr w:type="gramStart"/>
      <w:r w:rsidR="00537672">
        <w:rPr>
          <w:lang w:eastAsia="sv-SE"/>
        </w:rPr>
        <w:t>SPGR</w:t>
      </w:r>
      <w:r w:rsidR="00537672" w:rsidRPr="0015100A">
        <w:rPr>
          <w:lang w:eastAsia="sv-SE"/>
        </w:rPr>
        <w:t>s</w:t>
      </w:r>
      <w:proofErr w:type="spellEnd"/>
      <w:proofErr w:type="gramEnd"/>
      <w:r w:rsidR="00537672" w:rsidRPr="0015100A">
        <w:rPr>
          <w:lang w:eastAsia="sv-SE"/>
        </w:rPr>
        <w:t xml:space="preserve"> resultat, kapitalbas och likviditet. </w:t>
      </w:r>
    </w:p>
    <w:p w14:paraId="5DA3F32E" w14:textId="77777777" w:rsidR="0062388D" w:rsidRDefault="0062388D" w:rsidP="00537672">
      <w:pPr>
        <w:rPr>
          <w:lang w:eastAsia="sv-SE"/>
        </w:rPr>
      </w:pPr>
    </w:p>
    <w:p w14:paraId="6D009EA6" w14:textId="698EB80B" w:rsidR="00537672" w:rsidRDefault="00F157E2" w:rsidP="00537672">
      <w:pPr>
        <w:rPr>
          <w:lang w:eastAsia="sv-SE"/>
        </w:rPr>
      </w:pPr>
      <w:r>
        <w:rPr>
          <w:lang w:eastAsia="sv-SE"/>
        </w:rPr>
        <w:t xml:space="preserve">Bolagets styrelse fattar sedan beslut om rörlig ersättning i Bolaget med beaktande av </w:t>
      </w:r>
      <w:proofErr w:type="spellStart"/>
      <w:r>
        <w:rPr>
          <w:lang w:eastAsia="sv-SE"/>
        </w:rPr>
        <w:t>SPGR:s</w:t>
      </w:r>
      <w:proofErr w:type="spellEnd"/>
      <w:r>
        <w:rPr>
          <w:lang w:eastAsia="sv-SE"/>
        </w:rPr>
        <w:t xml:space="preserve"> beslut.</w:t>
      </w:r>
      <w:r w:rsidR="004E50AB">
        <w:rPr>
          <w:lang w:eastAsia="sv-SE"/>
        </w:rPr>
        <w:t xml:space="preserve"> </w:t>
      </w:r>
      <w:r w:rsidR="00D10A31">
        <w:rPr>
          <w:lang w:eastAsia="sv-SE"/>
        </w:rPr>
        <w:t>(</w:t>
      </w:r>
      <w:r w:rsidR="004E50AB">
        <w:rPr>
          <w:lang w:eastAsia="sv-SE"/>
        </w:rPr>
        <w:t>VD</w:t>
      </w:r>
      <w:r w:rsidR="007F4DBC">
        <w:rPr>
          <w:lang w:eastAsia="sv-SE"/>
        </w:rPr>
        <w:t xml:space="preserve"> </w:t>
      </w:r>
      <w:r w:rsidR="009337A1">
        <w:rPr>
          <w:lang w:eastAsia="sv-SE"/>
        </w:rPr>
        <w:t xml:space="preserve">får </w:t>
      </w:r>
      <w:r w:rsidR="008E5B45">
        <w:rPr>
          <w:lang w:eastAsia="sv-SE"/>
        </w:rPr>
        <w:t>inte</w:t>
      </w:r>
      <w:r w:rsidR="009337A1">
        <w:rPr>
          <w:lang w:eastAsia="sv-SE"/>
        </w:rPr>
        <w:t xml:space="preserve"> </w:t>
      </w:r>
      <w:r w:rsidR="00D10A31">
        <w:rPr>
          <w:lang w:eastAsia="sv-SE"/>
        </w:rPr>
        <w:t>delta</w:t>
      </w:r>
      <w:r w:rsidR="009337A1">
        <w:rPr>
          <w:lang w:eastAsia="sv-SE"/>
        </w:rPr>
        <w:t xml:space="preserve"> </w:t>
      </w:r>
      <w:r w:rsidR="00D10A31">
        <w:rPr>
          <w:lang w:eastAsia="sv-SE"/>
        </w:rPr>
        <w:t xml:space="preserve">i beslut avseende rörlig ersättning till sig själva). </w:t>
      </w:r>
      <w:r>
        <w:rPr>
          <w:lang w:eastAsia="sv-SE"/>
        </w:rPr>
        <w:t xml:space="preserve"> </w:t>
      </w:r>
      <w:r w:rsidR="009337A1">
        <w:rPr>
          <w:lang w:eastAsia="sv-SE"/>
        </w:rPr>
        <w:br/>
      </w:r>
      <w:r w:rsidR="00694D84">
        <w:rPr>
          <w:lang w:eastAsia="sv-SE"/>
        </w:rPr>
        <w:t>Om rörlig ersättning beslutats kan den</w:t>
      </w:r>
      <w:r>
        <w:rPr>
          <w:lang w:eastAsia="sv-SE"/>
        </w:rPr>
        <w:t xml:space="preserve"> rörliga ersättningen</w:t>
      </w:r>
      <w:r w:rsidR="006D7DBA">
        <w:rPr>
          <w:lang w:eastAsia="sv-SE"/>
        </w:rPr>
        <w:t xml:space="preserve"> </w:t>
      </w:r>
      <w:r>
        <w:rPr>
          <w:lang w:eastAsia="sv-SE"/>
        </w:rPr>
        <w:t xml:space="preserve">därefter </w:t>
      </w:r>
      <w:r w:rsidR="0062388D" w:rsidRPr="0015100A">
        <w:rPr>
          <w:lang w:eastAsia="sv-SE"/>
        </w:rPr>
        <w:t>fördela</w:t>
      </w:r>
      <w:r w:rsidR="0062388D">
        <w:rPr>
          <w:lang w:eastAsia="sv-SE"/>
        </w:rPr>
        <w:t>s</w:t>
      </w:r>
      <w:r w:rsidR="0062388D" w:rsidRPr="0015100A">
        <w:rPr>
          <w:lang w:eastAsia="sv-SE"/>
        </w:rPr>
        <w:t xml:space="preserve"> ut till </w:t>
      </w:r>
      <w:r w:rsidR="0062388D">
        <w:rPr>
          <w:lang w:eastAsia="sv-SE"/>
        </w:rPr>
        <w:t xml:space="preserve">samtliga </w:t>
      </w:r>
      <w:r w:rsidR="0062388D" w:rsidRPr="0015100A">
        <w:rPr>
          <w:lang w:eastAsia="sv-SE"/>
        </w:rPr>
        <w:t>anställda</w:t>
      </w:r>
      <w:r w:rsidR="0062388D">
        <w:rPr>
          <w:lang w:eastAsia="sv-SE"/>
        </w:rPr>
        <w:t xml:space="preserve"> </w:t>
      </w:r>
      <w:r w:rsidR="0062388D" w:rsidRPr="0015100A">
        <w:rPr>
          <w:lang w:eastAsia="sv-SE"/>
        </w:rPr>
        <w:t>under det kommande året.</w:t>
      </w:r>
    </w:p>
    <w:p w14:paraId="72B7FCE5" w14:textId="77777777" w:rsidR="00F157E2" w:rsidRDefault="00F157E2" w:rsidP="00F627E7">
      <w:pPr>
        <w:rPr>
          <w:lang w:eastAsia="sv-SE"/>
        </w:rPr>
      </w:pPr>
    </w:p>
    <w:p w14:paraId="7F99191B" w14:textId="513B805B" w:rsidR="00F627E7" w:rsidRDefault="00537672" w:rsidP="00F627E7">
      <w:pPr>
        <w:rPr>
          <w:lang w:eastAsia="sv-SE"/>
        </w:rPr>
      </w:pPr>
      <w:r w:rsidRPr="0015100A">
        <w:rPr>
          <w:lang w:eastAsia="sv-SE"/>
        </w:rPr>
        <w:t>Fördelningen av den rörliga ersättningen på individnivå</w:t>
      </w:r>
      <w:r>
        <w:rPr>
          <w:lang w:eastAsia="sv-SE"/>
        </w:rPr>
        <w:t xml:space="preserve">, </w:t>
      </w:r>
      <w:r w:rsidRPr="0015100A">
        <w:rPr>
          <w:lang w:eastAsia="sv-SE"/>
        </w:rPr>
        <w:t>beslutas baserat på en utvärdering av den anställdes prestation.</w:t>
      </w:r>
      <w:r w:rsidR="00F627E7" w:rsidRPr="00F627E7">
        <w:rPr>
          <w:lang w:eastAsia="sv-SE"/>
        </w:rPr>
        <w:t xml:space="preserve"> </w:t>
      </w:r>
      <w:r w:rsidR="00F627E7" w:rsidRPr="0015100A">
        <w:rPr>
          <w:lang w:eastAsia="sv-SE"/>
        </w:rPr>
        <w:t xml:space="preserve">Den rörliga ersättningen som en enskild anställd har </w:t>
      </w:r>
      <w:r w:rsidR="00F627E7" w:rsidRPr="004A2A1F">
        <w:rPr>
          <w:lang w:eastAsia="sv-SE"/>
        </w:rPr>
        <w:t xml:space="preserve">möjlighet </w:t>
      </w:r>
      <w:r w:rsidR="00F627E7" w:rsidRPr="0015100A">
        <w:rPr>
          <w:lang w:eastAsia="sv-SE"/>
        </w:rPr>
        <w:t xml:space="preserve">att få kan beslutas först efter att </w:t>
      </w:r>
      <w:r w:rsidR="002F7EEB">
        <w:rPr>
          <w:lang w:eastAsia="sv-SE"/>
        </w:rPr>
        <w:t>k</w:t>
      </w:r>
      <w:r w:rsidR="00F627E7">
        <w:rPr>
          <w:lang w:eastAsia="sv-SE"/>
        </w:rPr>
        <w:t xml:space="preserve">oncernledningen eller </w:t>
      </w:r>
      <w:r w:rsidR="002F7EEB">
        <w:rPr>
          <w:lang w:eastAsia="sv-SE"/>
        </w:rPr>
        <w:t>e</w:t>
      </w:r>
      <w:r w:rsidR="00F627E7">
        <w:rPr>
          <w:lang w:eastAsia="sv-SE"/>
        </w:rPr>
        <w:t xml:space="preserve">rsättningskommittén </w:t>
      </w:r>
      <w:r w:rsidR="00F627E7" w:rsidRPr="0015100A">
        <w:rPr>
          <w:lang w:eastAsia="sv-SE"/>
        </w:rPr>
        <w:t>gjort en bedömning om den anställde är berättigad rörlig ersättning</w:t>
      </w:r>
      <w:r w:rsidR="00F627E7">
        <w:rPr>
          <w:lang w:eastAsia="sv-SE"/>
        </w:rPr>
        <w:t>.</w:t>
      </w:r>
      <w:r w:rsidR="002E5E85" w:rsidRPr="002E5E85">
        <w:rPr>
          <w:lang w:eastAsia="sv-SE"/>
        </w:rPr>
        <w:t xml:space="preserve"> </w:t>
      </w:r>
      <w:r w:rsidR="002E5E85">
        <w:rPr>
          <w:lang w:eastAsia="sv-SE"/>
        </w:rPr>
        <w:t xml:space="preserve">Faktorer att beakta vid rörlig ersättning är </w:t>
      </w:r>
      <w:r w:rsidR="002E5E85" w:rsidRPr="0015100A">
        <w:rPr>
          <w:lang w:eastAsia="sv-SE"/>
        </w:rPr>
        <w:t>anställdes arbetsuppgifter, bakgrund, kompetens och ansvarsområde.</w:t>
      </w:r>
    </w:p>
    <w:p w14:paraId="3E861930" w14:textId="77777777" w:rsidR="00F627E7" w:rsidRDefault="00F627E7" w:rsidP="00537672">
      <w:pPr>
        <w:rPr>
          <w:lang w:eastAsia="sv-SE"/>
        </w:rPr>
      </w:pPr>
    </w:p>
    <w:p w14:paraId="7B7477D9" w14:textId="1001BBF4" w:rsidR="00537672" w:rsidRDefault="00F627E7" w:rsidP="00537672">
      <w:r w:rsidRPr="0015100A">
        <w:rPr>
          <w:lang w:eastAsia="sv-SE"/>
        </w:rPr>
        <w:t>Rörlig ersättning kommer att kunna utbetalas löpande under året</w:t>
      </w:r>
      <w:r>
        <w:rPr>
          <w:lang w:eastAsia="sv-SE"/>
        </w:rPr>
        <w:t>.</w:t>
      </w:r>
      <w:r w:rsidR="001207B4" w:rsidRPr="001207B4">
        <w:t xml:space="preserve"> </w:t>
      </w:r>
      <w:r w:rsidR="001207B4">
        <w:t>SPGR garanterar inte att någon rörlig ersättning utbetalas.</w:t>
      </w:r>
    </w:p>
    <w:p w14:paraId="527BFDE5" w14:textId="77777777" w:rsidR="00AA2E22" w:rsidRDefault="00AA2E22" w:rsidP="00537672"/>
    <w:p w14:paraId="048F9708" w14:textId="3FCC7D4E" w:rsidR="00FB7063" w:rsidRPr="00FB7063" w:rsidRDefault="00FB7063" w:rsidP="00707E22">
      <w:pPr>
        <w:rPr>
          <w:b/>
          <w:bCs/>
          <w:lang w:eastAsia="sv-SE"/>
        </w:rPr>
      </w:pPr>
      <w:r w:rsidRPr="00FB7063">
        <w:rPr>
          <w:b/>
          <w:bCs/>
          <w:lang w:eastAsia="sv-SE"/>
        </w:rPr>
        <w:t>Riskpåverkande personal</w:t>
      </w:r>
    </w:p>
    <w:p w14:paraId="3FBB3BD1" w14:textId="339C9051" w:rsidR="00FB7063" w:rsidRDefault="00FB7063" w:rsidP="00707E22">
      <w:pPr>
        <w:rPr>
          <w:lang w:eastAsia="sv-SE"/>
        </w:rPr>
      </w:pPr>
      <w:r>
        <w:rPr>
          <w:lang w:eastAsia="sv-SE"/>
        </w:rPr>
        <w:t xml:space="preserve">Rörlig ersättning till </w:t>
      </w:r>
      <w:r w:rsidR="00B575B9">
        <w:rPr>
          <w:lang w:eastAsia="sv-SE"/>
        </w:rPr>
        <w:t>r</w:t>
      </w:r>
      <w:r w:rsidR="00537672">
        <w:rPr>
          <w:lang w:eastAsia="sv-SE"/>
        </w:rPr>
        <w:t xml:space="preserve">iskpåverkande personal kräver beredning av </w:t>
      </w:r>
      <w:r w:rsidR="00741509">
        <w:rPr>
          <w:lang w:eastAsia="sv-SE"/>
        </w:rPr>
        <w:t>E</w:t>
      </w:r>
      <w:r w:rsidR="00537672">
        <w:rPr>
          <w:lang w:eastAsia="sv-SE"/>
        </w:rPr>
        <w:t>rsättningskommittén</w:t>
      </w:r>
      <w:r w:rsidR="00741509">
        <w:rPr>
          <w:lang w:eastAsia="sv-SE"/>
        </w:rPr>
        <w:t>.</w:t>
      </w:r>
    </w:p>
    <w:p w14:paraId="66F7526B" w14:textId="77777777" w:rsidR="00FB7063" w:rsidRDefault="00FB7063" w:rsidP="00707E22">
      <w:pPr>
        <w:rPr>
          <w:lang w:eastAsia="sv-SE"/>
        </w:rPr>
      </w:pPr>
    </w:p>
    <w:p w14:paraId="5110201F" w14:textId="1859404E" w:rsidR="00F627E7" w:rsidRDefault="00F627E7" w:rsidP="00F627E7">
      <w:pPr>
        <w:rPr>
          <w:lang w:eastAsia="sv-SE"/>
        </w:rPr>
      </w:pPr>
      <w:r>
        <w:rPr>
          <w:lang w:eastAsia="sv-SE"/>
        </w:rPr>
        <w:t xml:space="preserve">För </w:t>
      </w:r>
      <w:r w:rsidR="00B575B9">
        <w:rPr>
          <w:lang w:eastAsia="sv-SE"/>
        </w:rPr>
        <w:t>r</w:t>
      </w:r>
      <w:r>
        <w:rPr>
          <w:lang w:eastAsia="sv-SE"/>
        </w:rPr>
        <w:t xml:space="preserve">iskpåverkande personal kräver det att </w:t>
      </w:r>
      <w:r w:rsidRPr="0015100A">
        <w:rPr>
          <w:lang w:eastAsia="sv-SE"/>
        </w:rPr>
        <w:t>nedanstående kriterier</w:t>
      </w:r>
      <w:r>
        <w:rPr>
          <w:lang w:eastAsia="sv-SE"/>
        </w:rPr>
        <w:t xml:space="preserve"> är uppfyllda för att vara behörig att erhålla rörlig ersättning</w:t>
      </w:r>
      <w:r w:rsidRPr="0015100A">
        <w:rPr>
          <w:lang w:eastAsia="sv-SE"/>
        </w:rPr>
        <w:t xml:space="preserve">. Vid utbetalning </w:t>
      </w:r>
      <w:r>
        <w:rPr>
          <w:lang w:eastAsia="sv-SE"/>
        </w:rPr>
        <w:t xml:space="preserve">ska </w:t>
      </w:r>
      <w:r w:rsidR="00741509">
        <w:rPr>
          <w:lang w:eastAsia="sv-SE"/>
        </w:rPr>
        <w:t>E</w:t>
      </w:r>
      <w:r>
        <w:rPr>
          <w:lang w:eastAsia="sv-SE"/>
        </w:rPr>
        <w:t>rsättningskommittén samråda med CFO</w:t>
      </w:r>
      <w:r w:rsidRPr="0015100A">
        <w:rPr>
          <w:lang w:eastAsia="sv-SE"/>
        </w:rPr>
        <w:t xml:space="preserve"> avseende uppfyllandet av de finansiella kriterierna.</w:t>
      </w:r>
    </w:p>
    <w:p w14:paraId="68F542F7" w14:textId="77777777" w:rsidR="00537672" w:rsidRDefault="00537672" w:rsidP="00707E22">
      <w:pPr>
        <w:rPr>
          <w:b/>
          <w:bCs/>
          <w:lang w:eastAsia="sv-SE"/>
        </w:rPr>
      </w:pPr>
    </w:p>
    <w:p w14:paraId="1CD7A76C" w14:textId="38C2AADA" w:rsidR="00F627E7" w:rsidRDefault="00F627E7" w:rsidP="00F627E7">
      <w:pPr>
        <w:rPr>
          <w:lang w:eastAsia="sv-SE"/>
        </w:rPr>
      </w:pPr>
      <w:r w:rsidRPr="0015100A">
        <w:rPr>
          <w:lang w:eastAsia="sv-SE"/>
        </w:rPr>
        <w:t xml:space="preserve">För </w:t>
      </w:r>
      <w:r w:rsidR="00B575B9">
        <w:rPr>
          <w:lang w:eastAsia="sv-SE"/>
        </w:rPr>
        <w:t>r</w:t>
      </w:r>
      <w:r>
        <w:rPr>
          <w:lang w:eastAsia="sv-SE"/>
        </w:rPr>
        <w:t>iskpåverkande personal</w:t>
      </w:r>
      <w:r w:rsidRPr="0015100A">
        <w:rPr>
          <w:lang w:eastAsia="sv-SE"/>
        </w:rPr>
        <w:t xml:space="preserve"> inom </w:t>
      </w:r>
      <w:r w:rsidR="003E31F6">
        <w:rPr>
          <w:lang w:eastAsia="sv-SE"/>
        </w:rPr>
        <w:t>Bolaget</w:t>
      </w:r>
      <w:r w:rsidR="00824CAF" w:rsidRPr="0015100A">
        <w:rPr>
          <w:lang w:eastAsia="sv-SE"/>
        </w:rPr>
        <w:t xml:space="preserve"> </w:t>
      </w:r>
      <w:r w:rsidRPr="0015100A">
        <w:rPr>
          <w:lang w:eastAsia="sv-SE"/>
        </w:rPr>
        <w:t>gäller åtminstone följande kriterier.</w:t>
      </w:r>
    </w:p>
    <w:p w14:paraId="183E9654" w14:textId="77777777" w:rsidR="00F627E7" w:rsidRPr="0015100A" w:rsidRDefault="00F627E7" w:rsidP="00F627E7">
      <w:pPr>
        <w:rPr>
          <w:lang w:eastAsia="sv-SE"/>
        </w:rPr>
      </w:pPr>
    </w:p>
    <w:p w14:paraId="3419E1EB" w14:textId="77777777" w:rsidR="00F627E7" w:rsidRPr="0015100A" w:rsidRDefault="00F627E7" w:rsidP="00F627E7">
      <w:pPr>
        <w:rPr>
          <w:lang w:eastAsia="sv-SE"/>
        </w:rPr>
      </w:pPr>
      <w:r w:rsidRPr="0015100A">
        <w:rPr>
          <w:b/>
          <w:bCs/>
          <w:lang w:eastAsia="sv-SE"/>
        </w:rPr>
        <w:t>Finansiella kriterier</w:t>
      </w:r>
    </w:p>
    <w:p w14:paraId="5FFCC032" w14:textId="2F68D0CC" w:rsidR="00F627E7" w:rsidRPr="0015100A" w:rsidRDefault="00DF31A9" w:rsidP="00490887">
      <w:pPr>
        <w:pStyle w:val="Liststycke"/>
        <w:numPr>
          <w:ilvl w:val="0"/>
          <w:numId w:val="5"/>
        </w:numPr>
        <w:rPr>
          <w:lang w:eastAsia="sv-SE"/>
        </w:rPr>
      </w:pPr>
      <w:r>
        <w:rPr>
          <w:lang w:eastAsia="sv-SE"/>
        </w:rPr>
        <w:t>r</w:t>
      </w:r>
      <w:r w:rsidR="00F627E7" w:rsidRPr="0015100A">
        <w:rPr>
          <w:lang w:eastAsia="sv-SE"/>
        </w:rPr>
        <w:t>esultatet för verksamhetsåret ska enligt fastställd årsredovisning uppgå till ett belopp som årligen fastställs av styrelsen</w:t>
      </w:r>
      <w:r w:rsidR="00F627E7">
        <w:rPr>
          <w:lang w:eastAsia="sv-SE"/>
        </w:rPr>
        <w:t xml:space="preserve"> </w:t>
      </w:r>
      <w:r w:rsidR="00F627E7" w:rsidRPr="0015100A">
        <w:rPr>
          <w:lang w:eastAsia="sv-SE"/>
        </w:rPr>
        <w:t>för att kunna avsätta ett belopp till rörliga ersättningar</w:t>
      </w:r>
      <w:r w:rsidR="00490887">
        <w:rPr>
          <w:lang w:eastAsia="sv-SE"/>
        </w:rPr>
        <w:t>,</w:t>
      </w:r>
      <w:r w:rsidR="00F627E7" w:rsidRPr="0015100A">
        <w:rPr>
          <w:lang w:eastAsia="sv-SE"/>
        </w:rPr>
        <w:t xml:space="preserve"> </w:t>
      </w:r>
    </w:p>
    <w:p w14:paraId="7E663778" w14:textId="537D4E31" w:rsidR="00F627E7" w:rsidRPr="0015100A" w:rsidRDefault="00DF31A9" w:rsidP="00490887">
      <w:pPr>
        <w:pStyle w:val="Liststycke"/>
        <w:numPr>
          <w:ilvl w:val="0"/>
          <w:numId w:val="5"/>
        </w:numPr>
        <w:rPr>
          <w:lang w:eastAsia="sv-SE"/>
        </w:rPr>
      </w:pPr>
      <w:r>
        <w:rPr>
          <w:lang w:eastAsia="sv-SE"/>
        </w:rPr>
        <w:t>u</w:t>
      </w:r>
      <w:r w:rsidR="00F627E7" w:rsidRPr="0015100A">
        <w:rPr>
          <w:lang w:eastAsia="sv-SE"/>
        </w:rPr>
        <w:t xml:space="preserve">tbetalning av rörlig ersättning får inte ske om det skulle innebära att </w:t>
      </w:r>
      <w:r w:rsidR="00F627E7">
        <w:rPr>
          <w:lang w:eastAsia="sv-SE"/>
        </w:rPr>
        <w:t>SPGR</w:t>
      </w:r>
      <w:r w:rsidR="00F627E7" w:rsidRPr="0015100A">
        <w:rPr>
          <w:lang w:eastAsia="sv-SE"/>
        </w:rPr>
        <w:t xml:space="preserve"> inte kan uppfylla de kapitalkrav som gäller för </w:t>
      </w:r>
      <w:r w:rsidR="00F627E7">
        <w:rPr>
          <w:lang w:eastAsia="sv-SE"/>
        </w:rPr>
        <w:t>SPGR på grupp- och individnivå</w:t>
      </w:r>
      <w:r w:rsidR="00490887">
        <w:rPr>
          <w:lang w:eastAsia="sv-SE"/>
        </w:rPr>
        <w:t>,</w:t>
      </w:r>
    </w:p>
    <w:p w14:paraId="326AF9B8" w14:textId="3FF7BBDC" w:rsidR="00F627E7" w:rsidRDefault="00DF31A9" w:rsidP="00E1720D">
      <w:pPr>
        <w:pStyle w:val="Liststycke"/>
        <w:numPr>
          <w:ilvl w:val="0"/>
          <w:numId w:val="5"/>
        </w:numPr>
        <w:rPr>
          <w:lang w:eastAsia="sv-SE"/>
        </w:rPr>
      </w:pPr>
      <w:r>
        <w:rPr>
          <w:lang w:eastAsia="sv-SE"/>
        </w:rPr>
        <w:t>i</w:t>
      </w:r>
      <w:r w:rsidR="00F627E7" w:rsidRPr="0015100A">
        <w:rPr>
          <w:lang w:eastAsia="sv-SE"/>
        </w:rPr>
        <w:t xml:space="preserve">ndividuellt bidrag avseende resultat och lönsamhet till arbetsgruppen, affärsområdet och/eller </w:t>
      </w:r>
      <w:r w:rsidR="00F627E7">
        <w:rPr>
          <w:lang w:eastAsia="sv-SE"/>
        </w:rPr>
        <w:t>SPGR</w:t>
      </w:r>
      <w:r w:rsidR="00F627E7" w:rsidRPr="0015100A">
        <w:rPr>
          <w:lang w:eastAsia="sv-SE"/>
        </w:rPr>
        <w:t xml:space="preserve">. </w:t>
      </w:r>
    </w:p>
    <w:p w14:paraId="4CFADCE3" w14:textId="77777777" w:rsidR="00F627E7" w:rsidRPr="0015100A" w:rsidRDefault="00F627E7" w:rsidP="00F627E7">
      <w:pPr>
        <w:rPr>
          <w:lang w:eastAsia="sv-SE"/>
        </w:rPr>
      </w:pPr>
    </w:p>
    <w:p w14:paraId="4EF8D086" w14:textId="77777777" w:rsidR="00F627E7" w:rsidRPr="0015100A" w:rsidRDefault="00F627E7" w:rsidP="00F627E7">
      <w:pPr>
        <w:rPr>
          <w:b/>
          <w:bCs/>
          <w:lang w:eastAsia="sv-SE"/>
        </w:rPr>
      </w:pPr>
      <w:r w:rsidRPr="0015100A">
        <w:rPr>
          <w:b/>
          <w:bCs/>
          <w:lang w:eastAsia="sv-SE"/>
        </w:rPr>
        <w:t xml:space="preserve">Icke finansiella kriterier </w:t>
      </w:r>
    </w:p>
    <w:p w14:paraId="3A647946" w14:textId="002C339A" w:rsidR="00F627E7" w:rsidRPr="0015100A" w:rsidRDefault="00F627E7" w:rsidP="00F627E7">
      <w:pPr>
        <w:rPr>
          <w:lang w:eastAsia="sv-SE"/>
        </w:rPr>
      </w:pPr>
      <w:r w:rsidRPr="0015100A">
        <w:rPr>
          <w:lang w:eastAsia="sv-SE"/>
        </w:rPr>
        <w:t xml:space="preserve">Den anställde ska ha efterlevt de externa och interna regler som gäller för </w:t>
      </w:r>
      <w:r w:rsidR="00E1720D">
        <w:rPr>
          <w:lang w:eastAsia="sv-SE"/>
        </w:rPr>
        <w:t>Bolagets</w:t>
      </w:r>
      <w:r w:rsidRPr="0015100A">
        <w:rPr>
          <w:lang w:eastAsia="sv-SE"/>
        </w:rPr>
        <w:t xml:space="preserve"> verksamhet. Den anställde ska även ha bidragit till; </w:t>
      </w:r>
    </w:p>
    <w:p w14:paraId="3B8D4F0B" w14:textId="74AF2C58" w:rsidR="00F627E7" w:rsidRPr="0015100A" w:rsidRDefault="00F627E7" w:rsidP="007F0AF9">
      <w:pPr>
        <w:pStyle w:val="Liststycke"/>
        <w:numPr>
          <w:ilvl w:val="0"/>
          <w:numId w:val="5"/>
        </w:numPr>
        <w:rPr>
          <w:lang w:eastAsia="sv-SE"/>
        </w:rPr>
      </w:pPr>
      <w:r w:rsidRPr="0015100A">
        <w:rPr>
          <w:lang w:eastAsia="sv-SE"/>
        </w:rPr>
        <w:t xml:space="preserve">att stärka </w:t>
      </w:r>
      <w:r w:rsidR="00E1720D">
        <w:rPr>
          <w:lang w:eastAsia="sv-SE"/>
        </w:rPr>
        <w:t>Bolagets</w:t>
      </w:r>
      <w:r w:rsidRPr="0015100A">
        <w:rPr>
          <w:lang w:eastAsia="sv-SE"/>
        </w:rPr>
        <w:t xml:space="preserve"> varumärke genom att uppträda professionellt och leverera hög service till kunder och samarbetspartners,</w:t>
      </w:r>
    </w:p>
    <w:p w14:paraId="371E1FF4" w14:textId="550C471B" w:rsidR="00F627E7" w:rsidRPr="0015100A" w:rsidRDefault="00F627E7" w:rsidP="007F0AF9">
      <w:pPr>
        <w:pStyle w:val="Liststycke"/>
        <w:numPr>
          <w:ilvl w:val="0"/>
          <w:numId w:val="5"/>
        </w:numPr>
        <w:rPr>
          <w:lang w:eastAsia="sv-SE"/>
        </w:rPr>
      </w:pPr>
      <w:r w:rsidRPr="0015100A">
        <w:rPr>
          <w:lang w:eastAsia="sv-SE"/>
        </w:rPr>
        <w:t xml:space="preserve">att </w:t>
      </w:r>
      <w:r w:rsidR="00E1720D">
        <w:rPr>
          <w:lang w:eastAsia="sv-SE"/>
        </w:rPr>
        <w:t>Bolaget</w:t>
      </w:r>
      <w:r w:rsidRPr="0015100A">
        <w:rPr>
          <w:lang w:eastAsia="sv-SE"/>
        </w:rPr>
        <w:t xml:space="preserve"> har nöjda kunder,</w:t>
      </w:r>
    </w:p>
    <w:p w14:paraId="19BCAE02" w14:textId="34DC262A" w:rsidR="00F627E7" w:rsidRPr="0015100A" w:rsidRDefault="00F627E7" w:rsidP="007F0AF9">
      <w:pPr>
        <w:pStyle w:val="Liststycke"/>
        <w:numPr>
          <w:ilvl w:val="0"/>
          <w:numId w:val="5"/>
        </w:numPr>
        <w:rPr>
          <w:lang w:eastAsia="sv-SE"/>
        </w:rPr>
      </w:pPr>
      <w:r w:rsidRPr="0015100A">
        <w:rPr>
          <w:lang w:eastAsia="sv-SE"/>
        </w:rPr>
        <w:t xml:space="preserve">att lämna förslag på förbättringar av verksamheten som kan skapa ett mervärde för kunder och/eller för </w:t>
      </w:r>
      <w:r w:rsidR="00E1720D">
        <w:rPr>
          <w:lang w:eastAsia="sv-SE"/>
        </w:rPr>
        <w:t>Bolaget</w:t>
      </w:r>
      <w:r w:rsidRPr="0015100A">
        <w:rPr>
          <w:lang w:eastAsia="sv-SE"/>
        </w:rPr>
        <w:t>,</w:t>
      </w:r>
    </w:p>
    <w:p w14:paraId="766C3872" w14:textId="38E739DC" w:rsidR="00F627E7" w:rsidRDefault="00F627E7" w:rsidP="007F0AF9">
      <w:pPr>
        <w:pStyle w:val="Liststycke"/>
        <w:numPr>
          <w:ilvl w:val="0"/>
          <w:numId w:val="5"/>
        </w:numPr>
        <w:rPr>
          <w:lang w:eastAsia="sv-SE"/>
        </w:rPr>
      </w:pPr>
      <w:r w:rsidRPr="0015100A">
        <w:rPr>
          <w:lang w:eastAsia="sv-SE"/>
        </w:rPr>
        <w:t xml:space="preserve">att inga kundklagomål har resulterat i ersättningsskyldighet för </w:t>
      </w:r>
      <w:r w:rsidR="00E1720D">
        <w:rPr>
          <w:lang w:eastAsia="sv-SE"/>
        </w:rPr>
        <w:t>Bolaget</w:t>
      </w:r>
      <w:r w:rsidRPr="0015100A">
        <w:rPr>
          <w:lang w:eastAsia="sv-SE"/>
        </w:rPr>
        <w:t>.</w:t>
      </w:r>
    </w:p>
    <w:p w14:paraId="30BE76AF" w14:textId="77777777" w:rsidR="00F627E7" w:rsidRPr="0015100A" w:rsidRDefault="00F627E7" w:rsidP="00F627E7">
      <w:pPr>
        <w:rPr>
          <w:lang w:eastAsia="sv-SE"/>
        </w:rPr>
      </w:pPr>
    </w:p>
    <w:p w14:paraId="15DBE86D" w14:textId="15EDC664" w:rsidR="00F627E7" w:rsidRDefault="00F627E7" w:rsidP="00F627E7">
      <w:pPr>
        <w:rPr>
          <w:lang w:eastAsia="sv-SE"/>
        </w:rPr>
      </w:pPr>
      <w:r>
        <w:rPr>
          <w:lang w:eastAsia="sv-SE"/>
        </w:rPr>
        <w:t>Riskpåverkande personal</w:t>
      </w:r>
      <w:r w:rsidRPr="0015100A">
        <w:rPr>
          <w:lang w:eastAsia="sv-SE"/>
        </w:rPr>
        <w:t xml:space="preserve"> behöver inte ha bidragit med samtliga dessa kriterier för att ha rätt till rörlig ersättning. </w:t>
      </w:r>
      <w:r>
        <w:rPr>
          <w:lang w:eastAsia="sv-SE"/>
        </w:rPr>
        <w:t xml:space="preserve">Ersättningskommittén </w:t>
      </w:r>
      <w:r w:rsidRPr="0015100A">
        <w:rPr>
          <w:lang w:eastAsia="sv-SE"/>
        </w:rPr>
        <w:t>ska göra en samlad bedömning av varje anställds möjlighet att lämna dessa bidrag utifrån den anställdes arbetsuppgifter, bakgrund, kompetens och ansvarsområde.</w:t>
      </w:r>
    </w:p>
    <w:p w14:paraId="746201A9" w14:textId="77777777" w:rsidR="00CD3DBB" w:rsidRDefault="00CD3DBB" w:rsidP="00CD3DBB">
      <w:pPr>
        <w:rPr>
          <w:lang w:eastAsia="sv-SE"/>
        </w:rPr>
      </w:pPr>
    </w:p>
    <w:p w14:paraId="59C3C2B5" w14:textId="49B3FC12" w:rsidR="00CD3DBB" w:rsidRDefault="00CD3DBB" w:rsidP="00CD3DBB">
      <w:pPr>
        <w:rPr>
          <w:lang w:eastAsia="sv-SE"/>
        </w:rPr>
      </w:pPr>
      <w:r w:rsidRPr="0015100A">
        <w:rPr>
          <w:lang w:eastAsia="sv-SE"/>
        </w:rPr>
        <w:t xml:space="preserve">De finansiella och icke-finansiella kriterier som </w:t>
      </w:r>
      <w:r w:rsidR="00E1720D">
        <w:rPr>
          <w:lang w:eastAsia="sv-SE"/>
        </w:rPr>
        <w:t>E</w:t>
      </w:r>
      <w:r>
        <w:rPr>
          <w:lang w:eastAsia="sv-SE"/>
        </w:rPr>
        <w:t>rsättningskommittén</w:t>
      </w:r>
      <w:r w:rsidRPr="0015100A">
        <w:rPr>
          <w:lang w:eastAsia="sv-SE"/>
        </w:rPr>
        <w:t xml:space="preserve"> lägger till grund för beslut om möjlighet till rörlig ersättning specificeras och dokumenteras löpande i samband med beslut om rörlig ersättning från </w:t>
      </w:r>
      <w:r>
        <w:rPr>
          <w:lang w:eastAsia="sv-SE"/>
        </w:rPr>
        <w:t>styrelsen i moderbolaget</w:t>
      </w:r>
      <w:r w:rsidRPr="0015100A">
        <w:rPr>
          <w:lang w:eastAsia="sv-SE"/>
        </w:rPr>
        <w:t xml:space="preserve">. Målen är direkt kopplade till verksamhetens övergripande mål och visioner och den anställdes bidrag till uppnående av dessa enligt individuella fastställda kriterier. </w:t>
      </w:r>
      <w:r>
        <w:rPr>
          <w:lang w:eastAsia="sv-SE"/>
        </w:rPr>
        <w:t>SPGR</w:t>
      </w:r>
      <w:r w:rsidRPr="0015100A">
        <w:rPr>
          <w:lang w:eastAsia="sv-SE"/>
        </w:rPr>
        <w:t xml:space="preserve"> ska vidare ta hänsyn till kostnaderna för att kunna upprätthålla en tillräcklig kapitalbas eller att vid behov stärka kapitalbasen. En fullgod regelefterlevnad, avseende såväl interna som externa regler, är alltid ett kriterium för att erhålla rörlig ersättning. Rörliga ersättningar till anställda inom kontrollfunktioner får inte utformas så att funktionens objektivitet kan komma att äventyras.</w:t>
      </w:r>
    </w:p>
    <w:p w14:paraId="1E7AC9A2" w14:textId="77777777" w:rsidR="00537672" w:rsidRDefault="00537672" w:rsidP="00707E22">
      <w:pPr>
        <w:rPr>
          <w:b/>
          <w:bCs/>
          <w:lang w:eastAsia="sv-SE"/>
        </w:rPr>
      </w:pPr>
    </w:p>
    <w:p w14:paraId="537C34D8" w14:textId="2416EC7A" w:rsidR="00D709AD" w:rsidRPr="00FB7063" w:rsidRDefault="00D709AD" w:rsidP="00707E22">
      <w:pPr>
        <w:rPr>
          <w:b/>
          <w:bCs/>
          <w:lang w:eastAsia="sv-SE"/>
        </w:rPr>
      </w:pPr>
      <w:r w:rsidRPr="00FB7063">
        <w:rPr>
          <w:b/>
          <w:bCs/>
          <w:lang w:eastAsia="sv-SE"/>
        </w:rPr>
        <w:t>Övriga anställda</w:t>
      </w:r>
    </w:p>
    <w:p w14:paraId="571642ED" w14:textId="14B6B47C" w:rsidR="00141984" w:rsidRPr="0015100A" w:rsidRDefault="00537672" w:rsidP="00707E22">
      <w:pPr>
        <w:rPr>
          <w:lang w:eastAsia="sv-SE"/>
        </w:rPr>
      </w:pPr>
      <w:r>
        <w:rPr>
          <w:lang w:eastAsia="sv-SE"/>
        </w:rPr>
        <w:t>Rörlig ersättning</w:t>
      </w:r>
      <w:r w:rsidR="007B58B2">
        <w:rPr>
          <w:lang w:eastAsia="sv-SE"/>
        </w:rPr>
        <w:t xml:space="preserve"> till</w:t>
      </w:r>
      <w:r>
        <w:rPr>
          <w:lang w:eastAsia="sv-SE"/>
        </w:rPr>
        <w:t xml:space="preserve"> övriga anställda</w:t>
      </w:r>
      <w:r w:rsidR="007B58B2">
        <w:rPr>
          <w:lang w:eastAsia="sv-SE"/>
        </w:rPr>
        <w:t>,</w:t>
      </w:r>
      <w:r w:rsidR="002366CB">
        <w:rPr>
          <w:lang w:eastAsia="sv-SE"/>
        </w:rPr>
        <w:t xml:space="preserve"> </w:t>
      </w:r>
      <w:r>
        <w:rPr>
          <w:lang w:eastAsia="sv-SE"/>
        </w:rPr>
        <w:t xml:space="preserve">som inte är </w:t>
      </w:r>
      <w:r w:rsidR="00531B4C">
        <w:rPr>
          <w:lang w:eastAsia="sv-SE"/>
        </w:rPr>
        <w:t>r</w:t>
      </w:r>
      <w:r>
        <w:rPr>
          <w:lang w:eastAsia="sv-SE"/>
        </w:rPr>
        <w:t xml:space="preserve">iskpåverkande personal, kan </w:t>
      </w:r>
      <w:r w:rsidR="007B58B2">
        <w:rPr>
          <w:lang w:eastAsia="sv-SE"/>
        </w:rPr>
        <w:t>beslutas</w:t>
      </w:r>
      <w:r>
        <w:rPr>
          <w:lang w:eastAsia="sv-SE"/>
        </w:rPr>
        <w:t xml:space="preserve"> </w:t>
      </w:r>
      <w:proofErr w:type="spellStart"/>
      <w:r>
        <w:rPr>
          <w:lang w:eastAsia="sv-SE"/>
        </w:rPr>
        <w:t>diskretionärt</w:t>
      </w:r>
      <w:proofErr w:type="spellEnd"/>
      <w:r>
        <w:rPr>
          <w:lang w:eastAsia="sv-SE"/>
        </w:rPr>
        <w:t xml:space="preserve"> av </w:t>
      </w:r>
      <w:r w:rsidR="00531B4C">
        <w:rPr>
          <w:lang w:eastAsia="sv-SE"/>
        </w:rPr>
        <w:t>k</w:t>
      </w:r>
      <w:r>
        <w:rPr>
          <w:lang w:eastAsia="sv-SE"/>
        </w:rPr>
        <w:t>oncernledningen.</w:t>
      </w:r>
      <w:r w:rsidR="001207B4">
        <w:rPr>
          <w:lang w:eastAsia="sv-SE"/>
        </w:rPr>
        <w:t xml:space="preserve"> </w:t>
      </w:r>
      <w:r w:rsidR="001207B4">
        <w:t xml:space="preserve">All rörlig ersättning fastställs </w:t>
      </w:r>
      <w:proofErr w:type="spellStart"/>
      <w:r w:rsidR="001207B4">
        <w:t>diskretionärt</w:t>
      </w:r>
      <w:proofErr w:type="spellEnd"/>
      <w:r w:rsidR="001207B4">
        <w:t xml:space="preserve">, av </w:t>
      </w:r>
      <w:r w:rsidR="00531B4C">
        <w:t>k</w:t>
      </w:r>
      <w:r w:rsidR="001207B4">
        <w:t xml:space="preserve">oncernledningen, utifrån en kvantitativ och kvalitativ utvärdering av enskilda prestationer i förhållande till individuella mål. </w:t>
      </w:r>
      <w:r w:rsidR="00E1720D">
        <w:t>Bolaget</w:t>
      </w:r>
      <w:r w:rsidR="001207B4">
        <w:t xml:space="preserve"> arbetar aktivt för att inga individuella mål, samt därtill kopplad rörlig ersättning, ska uppmuntra till ett för stort risktagande eller intressekonflikter. </w:t>
      </w:r>
    </w:p>
    <w:p w14:paraId="3712005E" w14:textId="77777777" w:rsidR="00141984" w:rsidRPr="0015100A" w:rsidRDefault="00141984" w:rsidP="00707E22">
      <w:pPr>
        <w:rPr>
          <w:lang w:eastAsia="sv-SE"/>
        </w:rPr>
      </w:pPr>
    </w:p>
    <w:p w14:paraId="2E48A33B" w14:textId="77777777" w:rsidR="0015100A" w:rsidRPr="0015100A" w:rsidRDefault="0015100A" w:rsidP="00EE6729">
      <w:pPr>
        <w:rPr>
          <w:b/>
          <w:bCs/>
          <w:lang w:eastAsia="sv-SE"/>
        </w:rPr>
      </w:pPr>
      <w:r w:rsidRPr="0015100A">
        <w:rPr>
          <w:b/>
          <w:bCs/>
          <w:lang w:eastAsia="sv-SE"/>
        </w:rPr>
        <w:lastRenderedPageBreak/>
        <w:t>Uppskjuten ersättning</w:t>
      </w:r>
    </w:p>
    <w:p w14:paraId="571C67C6" w14:textId="2CAD856D" w:rsidR="00E1720D" w:rsidRDefault="007B58B2" w:rsidP="00707E22">
      <w:pPr>
        <w:rPr>
          <w:lang w:eastAsia="sv-SE"/>
        </w:rPr>
      </w:pPr>
      <w:r>
        <w:rPr>
          <w:lang w:eastAsia="sv-SE"/>
        </w:rPr>
        <w:t xml:space="preserve">Reglerna om uppskjuten ersättning är inte tillämpliga </w:t>
      </w:r>
      <w:r w:rsidR="00531B4C">
        <w:rPr>
          <w:lang w:eastAsia="sv-SE"/>
        </w:rPr>
        <w:t xml:space="preserve">på </w:t>
      </w:r>
      <w:r w:rsidR="003E31F6">
        <w:rPr>
          <w:lang w:eastAsia="sv-SE"/>
        </w:rPr>
        <w:t>Bolaget</w:t>
      </w:r>
      <w:r w:rsidR="00811FC8">
        <w:rPr>
          <w:lang w:eastAsia="sv-SE"/>
        </w:rPr>
        <w:t xml:space="preserve"> </w:t>
      </w:r>
      <w:r w:rsidR="00255486">
        <w:rPr>
          <w:lang w:eastAsia="sv-SE"/>
        </w:rPr>
        <w:t>enligt</w:t>
      </w:r>
      <w:r w:rsidR="0024646D">
        <w:rPr>
          <w:lang w:eastAsia="sv-SE"/>
        </w:rPr>
        <w:t xml:space="preserve"> 3 a kap. 1 § FFFS 2017:2</w:t>
      </w:r>
      <w:r w:rsidR="00E86C47">
        <w:rPr>
          <w:lang w:eastAsia="sv-SE"/>
        </w:rPr>
        <w:t>, (</w:t>
      </w:r>
      <w:r w:rsidR="00E86C47">
        <w:t>FFFS 2021:27)</w:t>
      </w:r>
      <w:r w:rsidR="0024646D">
        <w:rPr>
          <w:lang w:eastAsia="sv-SE"/>
        </w:rPr>
        <w:t>.</w:t>
      </w:r>
    </w:p>
    <w:p w14:paraId="7B18E8C2" w14:textId="77777777" w:rsidR="00141984" w:rsidRPr="0015100A" w:rsidRDefault="00141984" w:rsidP="00707E22">
      <w:pPr>
        <w:rPr>
          <w:lang w:eastAsia="sv-SE"/>
        </w:rPr>
      </w:pPr>
    </w:p>
    <w:p w14:paraId="3AE901C8" w14:textId="77777777" w:rsidR="0015100A" w:rsidRPr="0015100A" w:rsidRDefault="0015100A" w:rsidP="00EE6729">
      <w:pPr>
        <w:rPr>
          <w:b/>
          <w:bCs/>
          <w:lang w:eastAsia="sv-SE"/>
        </w:rPr>
      </w:pPr>
      <w:proofErr w:type="spellStart"/>
      <w:r w:rsidRPr="0015100A">
        <w:rPr>
          <w:b/>
          <w:bCs/>
          <w:lang w:eastAsia="sv-SE"/>
        </w:rPr>
        <w:t>Diskretionära</w:t>
      </w:r>
      <w:proofErr w:type="spellEnd"/>
      <w:r w:rsidRPr="0015100A">
        <w:rPr>
          <w:b/>
          <w:bCs/>
          <w:lang w:eastAsia="sv-SE"/>
        </w:rPr>
        <w:t xml:space="preserve"> pensionsförmåner </w:t>
      </w:r>
    </w:p>
    <w:p w14:paraId="204834E3" w14:textId="09DEDAA8" w:rsidR="00965C94" w:rsidRDefault="003E31F6" w:rsidP="004F2AE3">
      <w:pPr>
        <w:rPr>
          <w:lang w:eastAsia="sv-SE"/>
        </w:rPr>
      </w:pPr>
      <w:r>
        <w:rPr>
          <w:lang w:eastAsia="sv-SE"/>
        </w:rPr>
        <w:t>Bolaget</w:t>
      </w:r>
      <w:r w:rsidR="00811FC8" w:rsidRPr="0015100A">
        <w:rPr>
          <w:lang w:eastAsia="sv-SE"/>
        </w:rPr>
        <w:t xml:space="preserve"> </w:t>
      </w:r>
      <w:r w:rsidR="0015100A" w:rsidRPr="0015100A">
        <w:rPr>
          <w:lang w:eastAsia="sv-SE"/>
        </w:rPr>
        <w:t xml:space="preserve">beviljar inte individuella </w:t>
      </w:r>
      <w:proofErr w:type="spellStart"/>
      <w:r w:rsidR="0015100A" w:rsidRPr="0015100A">
        <w:rPr>
          <w:lang w:eastAsia="sv-SE"/>
        </w:rPr>
        <w:t>diskretionära</w:t>
      </w:r>
      <w:proofErr w:type="spellEnd"/>
      <w:r w:rsidR="0015100A" w:rsidRPr="0015100A">
        <w:rPr>
          <w:lang w:eastAsia="sv-SE"/>
        </w:rPr>
        <w:t xml:space="preserve"> pensionsförmåner som en del av en anställds rörliga ersättning.</w:t>
      </w:r>
      <w:r w:rsidR="0024646D">
        <w:rPr>
          <w:lang w:eastAsia="sv-SE"/>
        </w:rPr>
        <w:t xml:space="preserve"> </w:t>
      </w:r>
    </w:p>
    <w:p w14:paraId="2FC884CD" w14:textId="77777777" w:rsidR="00141984" w:rsidRPr="004F2AE3" w:rsidRDefault="00141984" w:rsidP="004F2AE3">
      <w:pPr>
        <w:rPr>
          <w:lang w:eastAsia="sv-SE"/>
        </w:rPr>
      </w:pPr>
    </w:p>
    <w:p w14:paraId="6EA7BA0B" w14:textId="25045E23" w:rsidR="0015100A" w:rsidRPr="00707E22" w:rsidRDefault="0015100A" w:rsidP="00AA1219">
      <w:pPr>
        <w:pStyle w:val="Rubrik1"/>
      </w:pPr>
      <w:bookmarkStart w:id="11" w:name="_Toc90642847"/>
      <w:r w:rsidRPr="0015100A">
        <w:t>Bortfall av rörlig ersättning</w:t>
      </w:r>
      <w:bookmarkEnd w:id="11"/>
    </w:p>
    <w:p w14:paraId="153F2E9C" w14:textId="33591541" w:rsidR="0015100A" w:rsidRDefault="0015100A" w:rsidP="00707E22">
      <w:pPr>
        <w:rPr>
          <w:lang w:eastAsia="sv-SE"/>
        </w:rPr>
      </w:pPr>
      <w:r w:rsidRPr="0015100A">
        <w:rPr>
          <w:lang w:eastAsia="sv-SE"/>
        </w:rPr>
        <w:t>Ett ersättningssystem som möjliggör rörlig ersättning till anställda kan snedvrida anställdas perspektiv och leda till ett överdrivet risktagande.</w:t>
      </w:r>
    </w:p>
    <w:p w14:paraId="7B912D0F" w14:textId="77777777" w:rsidR="00141984" w:rsidRPr="0015100A" w:rsidRDefault="00141984" w:rsidP="00707E22">
      <w:pPr>
        <w:rPr>
          <w:lang w:eastAsia="sv-SE"/>
        </w:rPr>
      </w:pPr>
    </w:p>
    <w:p w14:paraId="77DC43CB" w14:textId="7ACCCAC6" w:rsidR="0015100A" w:rsidRDefault="0015100A" w:rsidP="004F2AE3">
      <w:pPr>
        <w:rPr>
          <w:lang w:eastAsia="sv-SE"/>
        </w:rPr>
      </w:pPr>
      <w:r w:rsidRPr="0015100A">
        <w:rPr>
          <w:lang w:eastAsia="sv-SE"/>
        </w:rPr>
        <w:t>Innan rörlig ersättning betalas ut ska</w:t>
      </w:r>
      <w:r w:rsidR="001E78EC">
        <w:rPr>
          <w:lang w:eastAsia="sv-SE"/>
        </w:rPr>
        <w:t xml:space="preserve"> </w:t>
      </w:r>
      <w:r w:rsidR="00F051E4">
        <w:rPr>
          <w:lang w:eastAsia="sv-SE"/>
        </w:rPr>
        <w:t>e</w:t>
      </w:r>
      <w:r w:rsidR="00EE32AC">
        <w:rPr>
          <w:lang w:eastAsia="sv-SE"/>
        </w:rPr>
        <w:t xml:space="preserve">rsättningskommittén och </w:t>
      </w:r>
      <w:r w:rsidR="00F051E4">
        <w:rPr>
          <w:lang w:eastAsia="sv-SE"/>
        </w:rPr>
        <w:t>k</w:t>
      </w:r>
      <w:r w:rsidR="00EE32AC">
        <w:rPr>
          <w:lang w:eastAsia="sv-SE"/>
        </w:rPr>
        <w:t>oncernledning</w:t>
      </w:r>
      <w:r w:rsidRPr="0015100A">
        <w:rPr>
          <w:lang w:eastAsia="sv-SE"/>
        </w:rPr>
        <w:t xml:space="preserve"> göra en bedömning av de kriterier som framgår av </w:t>
      </w:r>
      <w:r w:rsidR="00C60CBD">
        <w:rPr>
          <w:lang w:eastAsia="sv-SE"/>
        </w:rPr>
        <w:t>ersättningspolicyn</w:t>
      </w:r>
      <w:r w:rsidRPr="0015100A">
        <w:rPr>
          <w:lang w:eastAsia="sv-SE"/>
        </w:rPr>
        <w:t xml:space="preserve">. </w:t>
      </w:r>
      <w:r w:rsidR="00C60CBD">
        <w:rPr>
          <w:lang w:eastAsia="sv-SE"/>
        </w:rPr>
        <w:t xml:space="preserve">Ersättningskommittén och </w:t>
      </w:r>
      <w:r w:rsidR="00F051E4">
        <w:rPr>
          <w:lang w:eastAsia="sv-SE"/>
        </w:rPr>
        <w:t>k</w:t>
      </w:r>
      <w:r w:rsidR="00C60CBD">
        <w:rPr>
          <w:lang w:eastAsia="sv-SE"/>
        </w:rPr>
        <w:t>oncernledning</w:t>
      </w:r>
      <w:r w:rsidRPr="0015100A">
        <w:rPr>
          <w:lang w:eastAsia="sv-SE"/>
        </w:rPr>
        <w:t xml:space="preserve"> ska i synnerhet bedöma huruvida den anställdes agerande har gett upphov till nya eller förstärkta risker i verksamheten. Skäl för bortfall av den rörliga ersättningen kan vara följande: olämpligt eller överdrivet risktagande i förhållande till den anställdes resultat eller </w:t>
      </w:r>
      <w:r w:rsidR="00EB2061">
        <w:rPr>
          <w:lang w:eastAsia="sv-SE"/>
        </w:rPr>
        <w:t>Bolagets/Koncernens</w:t>
      </w:r>
      <w:r w:rsidRPr="0015100A">
        <w:rPr>
          <w:lang w:eastAsia="sv-SE"/>
        </w:rPr>
        <w:t xml:space="preserve"> totala resultat, brist i regelefterlevnad, agerande i strid med </w:t>
      </w:r>
      <w:r w:rsidR="00EB2061">
        <w:rPr>
          <w:lang w:eastAsia="sv-SE"/>
        </w:rPr>
        <w:t>Bolagets</w:t>
      </w:r>
      <w:r w:rsidRPr="0015100A">
        <w:rPr>
          <w:lang w:eastAsia="sv-SE"/>
        </w:rPr>
        <w:t xml:space="preserve"> etiska riktlinjer eller agerande som resulterat i eller riskerar att resultera i kundklagomål, skadestånd, regulatoriska sanktioner eller ryktesrisker. </w:t>
      </w:r>
    </w:p>
    <w:p w14:paraId="54A0369D" w14:textId="77777777" w:rsidR="00141984" w:rsidRPr="004F2AE3" w:rsidRDefault="00141984" w:rsidP="004F2AE3">
      <w:pPr>
        <w:rPr>
          <w:lang w:eastAsia="sv-SE"/>
        </w:rPr>
      </w:pPr>
    </w:p>
    <w:p w14:paraId="65B6F342" w14:textId="175E3ABD" w:rsidR="0015100A" w:rsidRPr="00707E22" w:rsidRDefault="0015100A" w:rsidP="00AA1219">
      <w:pPr>
        <w:pStyle w:val="Rubrik1"/>
      </w:pPr>
      <w:bookmarkStart w:id="12" w:name="_Toc90642848"/>
      <w:r w:rsidRPr="0015100A">
        <w:t>Uppföljning och kontroll</w:t>
      </w:r>
      <w:bookmarkEnd w:id="12"/>
    </w:p>
    <w:p w14:paraId="3D862559" w14:textId="70EEA502" w:rsidR="0015100A" w:rsidRDefault="0015100A" w:rsidP="004F2AE3">
      <w:pPr>
        <w:rPr>
          <w:lang w:eastAsia="sv-SE"/>
        </w:rPr>
      </w:pPr>
      <w:r w:rsidRPr="0015100A">
        <w:rPr>
          <w:lang w:eastAsia="sv-SE"/>
        </w:rPr>
        <w:t xml:space="preserve">Internrevisorn ska minst en gång per år granska om </w:t>
      </w:r>
      <w:r w:rsidR="003E31F6">
        <w:rPr>
          <w:lang w:eastAsia="sv-SE"/>
        </w:rPr>
        <w:t>Bolaget</w:t>
      </w:r>
      <w:r w:rsidR="00474C46">
        <w:rPr>
          <w:lang w:eastAsia="sv-SE"/>
        </w:rPr>
        <w:t>s</w:t>
      </w:r>
      <w:r w:rsidR="00474C46" w:rsidRPr="0015100A">
        <w:rPr>
          <w:lang w:eastAsia="sv-SE"/>
        </w:rPr>
        <w:t xml:space="preserve"> </w:t>
      </w:r>
      <w:r w:rsidRPr="0015100A">
        <w:rPr>
          <w:lang w:eastAsia="sv-SE"/>
        </w:rPr>
        <w:t xml:space="preserve">ersättningssystem överensstämmer med </w:t>
      </w:r>
      <w:r w:rsidR="0092037C">
        <w:rPr>
          <w:lang w:eastAsia="sv-SE"/>
        </w:rPr>
        <w:t>Ersättnings</w:t>
      </w:r>
      <w:r w:rsidRPr="0015100A">
        <w:rPr>
          <w:lang w:eastAsia="sv-SE"/>
        </w:rPr>
        <w:t>policy</w:t>
      </w:r>
      <w:r w:rsidR="0092037C">
        <w:rPr>
          <w:lang w:eastAsia="sv-SE"/>
        </w:rPr>
        <w:t>n</w:t>
      </w:r>
      <w:r w:rsidRPr="0015100A">
        <w:rPr>
          <w:lang w:eastAsia="sv-SE"/>
        </w:rPr>
        <w:t>. Rapportering till styrelsen</w:t>
      </w:r>
      <w:r w:rsidR="00A814D4">
        <w:rPr>
          <w:lang w:eastAsia="sv-SE"/>
        </w:rPr>
        <w:t xml:space="preserve"> </w:t>
      </w:r>
      <w:r w:rsidRPr="0015100A">
        <w:rPr>
          <w:lang w:eastAsia="sv-SE"/>
        </w:rPr>
        <w:t>rörande resultatet av granskningen ska ske minst en gång per år och då senast i samband med att årsredovisningen fastställs. Resultatet av granskningen bör, när det behövs, omgående tillställas styrelsen.</w:t>
      </w:r>
    </w:p>
    <w:p w14:paraId="35100163" w14:textId="77777777" w:rsidR="00141984" w:rsidRPr="004F2AE3" w:rsidRDefault="00141984" w:rsidP="004F2AE3">
      <w:pPr>
        <w:rPr>
          <w:lang w:eastAsia="sv-SE"/>
        </w:rPr>
      </w:pPr>
    </w:p>
    <w:p w14:paraId="4A9CD82C" w14:textId="297AC6FD" w:rsidR="0015100A" w:rsidRPr="00707E22" w:rsidRDefault="0015100A" w:rsidP="00AA1219">
      <w:pPr>
        <w:pStyle w:val="Rubrik1"/>
      </w:pPr>
      <w:bookmarkStart w:id="13" w:name="_Toc90642849"/>
      <w:r w:rsidRPr="0015100A">
        <w:t>Information till anställda</w:t>
      </w:r>
      <w:bookmarkEnd w:id="13"/>
    </w:p>
    <w:p w14:paraId="5C60D82B" w14:textId="1A091C1A" w:rsidR="0015100A" w:rsidRDefault="0015100A" w:rsidP="00707E22">
      <w:pPr>
        <w:rPr>
          <w:lang w:eastAsia="sv-SE"/>
        </w:rPr>
      </w:pPr>
      <w:r w:rsidRPr="0015100A">
        <w:rPr>
          <w:lang w:eastAsia="sv-SE"/>
        </w:rPr>
        <w:t>VD</w:t>
      </w:r>
      <w:r w:rsidR="000B12C1">
        <w:rPr>
          <w:lang w:eastAsia="sv-SE"/>
        </w:rPr>
        <w:t xml:space="preserve"> i </w:t>
      </w:r>
      <w:r w:rsidR="003E31F6">
        <w:rPr>
          <w:lang w:eastAsia="sv-SE"/>
        </w:rPr>
        <w:t>Bolaget</w:t>
      </w:r>
      <w:r w:rsidRPr="0015100A">
        <w:rPr>
          <w:lang w:eastAsia="sv-SE"/>
        </w:rPr>
        <w:t xml:space="preserve"> ska ansvara för att informera </w:t>
      </w:r>
      <w:r w:rsidR="000B12C1">
        <w:rPr>
          <w:lang w:eastAsia="sv-SE"/>
        </w:rPr>
        <w:t>sina</w:t>
      </w:r>
      <w:r w:rsidRPr="0015100A">
        <w:rPr>
          <w:lang w:eastAsia="sv-SE"/>
        </w:rPr>
        <w:t xml:space="preserve"> anställda om vilka kriterier som styr </w:t>
      </w:r>
      <w:r w:rsidR="008A1C1F">
        <w:rPr>
          <w:lang w:eastAsia="sv-SE"/>
        </w:rPr>
        <w:t xml:space="preserve">Bolagets </w:t>
      </w:r>
      <w:r w:rsidRPr="0015100A">
        <w:rPr>
          <w:lang w:eastAsia="sv-SE"/>
        </w:rPr>
        <w:t xml:space="preserve">ersättning och hur deras resultat bedöms. </w:t>
      </w:r>
    </w:p>
    <w:p w14:paraId="33142040" w14:textId="77777777" w:rsidR="00141984" w:rsidRPr="0015100A" w:rsidRDefault="00141984" w:rsidP="00707E22">
      <w:pPr>
        <w:rPr>
          <w:lang w:eastAsia="sv-SE"/>
        </w:rPr>
      </w:pPr>
    </w:p>
    <w:p w14:paraId="0A51D0F3" w14:textId="6A87C299" w:rsidR="0015100A" w:rsidRPr="0015100A" w:rsidRDefault="0015100A" w:rsidP="00707E22">
      <w:pPr>
        <w:rPr>
          <w:lang w:eastAsia="sv-SE"/>
        </w:rPr>
      </w:pPr>
      <w:r w:rsidRPr="0015100A">
        <w:rPr>
          <w:lang w:eastAsia="sv-SE"/>
        </w:rPr>
        <w:t xml:space="preserve">Bedömningsprocessen och </w:t>
      </w:r>
      <w:r w:rsidR="0092037C" w:rsidRPr="008224FD">
        <w:rPr>
          <w:i/>
          <w:iCs/>
          <w:lang w:eastAsia="sv-SE"/>
        </w:rPr>
        <w:t>E</w:t>
      </w:r>
      <w:r w:rsidRPr="008224FD">
        <w:rPr>
          <w:i/>
          <w:lang w:eastAsia="sv-SE"/>
        </w:rPr>
        <w:t xml:space="preserve">rsättningspolicyn </w:t>
      </w:r>
      <w:r w:rsidRPr="0015100A">
        <w:rPr>
          <w:lang w:eastAsia="sv-SE"/>
        </w:rPr>
        <w:t>ska vara tillgänglig för alla anställda.</w:t>
      </w:r>
    </w:p>
    <w:p w14:paraId="7FC9C042" w14:textId="77777777" w:rsidR="0015100A" w:rsidRPr="0015100A" w:rsidRDefault="0015100A" w:rsidP="0015100A">
      <w:pPr>
        <w:spacing w:line="240" w:lineRule="auto"/>
        <w:jc w:val="left"/>
        <w:rPr>
          <w:rFonts w:ascii="Times New Roman" w:eastAsia="Times New Roman" w:hAnsi="Times New Roman" w:cs="Times New Roman"/>
          <w:lang w:eastAsia="sv-SE"/>
        </w:rPr>
      </w:pPr>
    </w:p>
    <w:p w14:paraId="3630DFFA" w14:textId="7B4E1FA0" w:rsidR="00D907C8" w:rsidRPr="00965C94" w:rsidRDefault="0015100A" w:rsidP="00965C94">
      <w:pPr>
        <w:spacing w:line="240" w:lineRule="auto"/>
        <w:jc w:val="center"/>
        <w:rPr>
          <w:rFonts w:ascii="Times New Roman" w:eastAsia="Times New Roman" w:hAnsi="Times New Roman" w:cs="Times New Roman"/>
          <w:lang w:eastAsia="sv-SE"/>
        </w:rPr>
      </w:pPr>
      <w:r w:rsidRPr="0015100A">
        <w:rPr>
          <w:rFonts w:ascii="Times New Roman" w:eastAsia="Times New Roman" w:hAnsi="Times New Roman" w:cs="Times New Roman"/>
          <w:lang w:eastAsia="sv-SE"/>
        </w:rPr>
        <w:t>_________________________</w:t>
      </w:r>
    </w:p>
    <w:sectPr w:rsidR="00D907C8" w:rsidRPr="00965C94" w:rsidSect="00E3410C">
      <w:footerReference w:type="default" r:id="rId13"/>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286D" w14:textId="77777777" w:rsidR="00BA3E01" w:rsidRDefault="00BA3E01" w:rsidP="0044470D">
      <w:r>
        <w:separator/>
      </w:r>
    </w:p>
  </w:endnote>
  <w:endnote w:type="continuationSeparator" w:id="0">
    <w:p w14:paraId="4E54CE0C" w14:textId="77777777" w:rsidR="00BA3E01" w:rsidRDefault="00BA3E01" w:rsidP="0044470D">
      <w:r>
        <w:continuationSeparator/>
      </w:r>
    </w:p>
  </w:endnote>
  <w:endnote w:type="continuationNotice" w:id="1">
    <w:p w14:paraId="69FBAA9A" w14:textId="77777777" w:rsidR="00BA3E01" w:rsidRDefault="00BA3E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82D3" w14:textId="7018F3D8" w:rsidR="00D82A07" w:rsidRPr="00D82A07" w:rsidRDefault="00D82A07">
    <w:pPr>
      <w:pStyle w:val="Sidfot"/>
      <w:jc w:val="right"/>
    </w:pPr>
  </w:p>
  <w:p w14:paraId="0D5C24D5" w14:textId="77777777" w:rsidR="00D82A07" w:rsidRDefault="00D82A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5922"/>
      <w:docPartObj>
        <w:docPartGallery w:val="Page Numbers (Bottom of Page)"/>
        <w:docPartUnique/>
      </w:docPartObj>
    </w:sdtPr>
    <w:sdtEndPr/>
    <w:sdtContent>
      <w:sdt>
        <w:sdtPr>
          <w:id w:val="-2025014813"/>
          <w:docPartObj>
            <w:docPartGallery w:val="Page Numbers (Top of Page)"/>
            <w:docPartUnique/>
          </w:docPartObj>
        </w:sdtPr>
        <w:sdtEndPr/>
        <w:sdtContent>
          <w:p w14:paraId="49B27F24" w14:textId="77777777" w:rsidR="00D82A07" w:rsidRPr="00D82A07" w:rsidRDefault="00D82A07">
            <w:pPr>
              <w:pStyle w:val="Sidfot"/>
              <w:jc w:val="right"/>
            </w:pPr>
            <w:r w:rsidRPr="00D82A07">
              <w:t xml:space="preserve"> </w:t>
            </w:r>
            <w:r w:rsidRPr="007F0AF9">
              <w:fldChar w:fldCharType="begin"/>
            </w:r>
            <w:r w:rsidRPr="007F0AF9">
              <w:instrText>PAGE</w:instrText>
            </w:r>
            <w:r w:rsidRPr="007F0AF9">
              <w:fldChar w:fldCharType="separate"/>
            </w:r>
            <w:r w:rsidRPr="007F0AF9">
              <w:t>2</w:t>
            </w:r>
            <w:r w:rsidRPr="007F0AF9">
              <w:fldChar w:fldCharType="end"/>
            </w:r>
            <w:r w:rsidRPr="00D82A07">
              <w:t>(</w:t>
            </w:r>
            <w:r w:rsidRPr="007F0AF9">
              <w:fldChar w:fldCharType="begin"/>
            </w:r>
            <w:r w:rsidRPr="007F0AF9">
              <w:instrText>NUMPAGES</w:instrText>
            </w:r>
            <w:r w:rsidRPr="007F0AF9">
              <w:fldChar w:fldCharType="separate"/>
            </w:r>
            <w:r w:rsidRPr="007F0AF9">
              <w:t>2</w:t>
            </w:r>
            <w:r w:rsidRPr="007F0AF9">
              <w:fldChar w:fldCharType="end"/>
            </w:r>
            <w:r w:rsidRPr="007F0AF9">
              <w:t>)</w:t>
            </w:r>
          </w:p>
        </w:sdtContent>
      </w:sdt>
    </w:sdtContent>
  </w:sdt>
  <w:p w14:paraId="5FC45447" w14:textId="77777777" w:rsidR="00D82A07" w:rsidRDefault="00D82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47D1" w14:textId="77777777" w:rsidR="00BA3E01" w:rsidRDefault="00BA3E01" w:rsidP="0044470D">
      <w:r>
        <w:separator/>
      </w:r>
    </w:p>
  </w:footnote>
  <w:footnote w:type="continuationSeparator" w:id="0">
    <w:p w14:paraId="0DE70F82" w14:textId="77777777" w:rsidR="00BA3E01" w:rsidRDefault="00BA3E01" w:rsidP="0044470D">
      <w:r>
        <w:continuationSeparator/>
      </w:r>
    </w:p>
  </w:footnote>
  <w:footnote w:type="continuationNotice" w:id="1">
    <w:p w14:paraId="702FB0C8" w14:textId="77777777" w:rsidR="00BA3E01" w:rsidRDefault="00BA3E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086" w14:textId="3622B6C7" w:rsidR="00444027" w:rsidRDefault="00680FB7" w:rsidP="009B6958">
    <w:pPr>
      <w:pStyle w:val="Sidhuvud"/>
      <w:jc w:val="right"/>
    </w:pPr>
    <w:sdt>
      <w:sdtPr>
        <w:id w:val="-926262084"/>
        <w:docPartObj>
          <w:docPartGallery w:val="Page Numbers (Top of Page)"/>
          <w:docPartUnique/>
        </w:docPartObj>
      </w:sdtPr>
      <w:sdtEndPr/>
      <w:sdtContent>
        <w:r w:rsidR="004874AE">
          <w:rPr>
            <w:noProof/>
          </w:rPr>
          <w:drawing>
            <wp:anchor distT="0" distB="0" distL="114300" distR="114300" simplePos="0" relativeHeight="251660288" behindDoc="0" locked="1" layoutInCell="1" allowOverlap="1" wp14:anchorId="587EB72B" wp14:editId="1045D9F2">
              <wp:simplePos x="0" y="0"/>
              <wp:positionH relativeFrom="margin">
                <wp:posOffset>0</wp:posOffset>
              </wp:positionH>
              <wp:positionV relativeFrom="page">
                <wp:posOffset>448945</wp:posOffset>
              </wp:positionV>
              <wp:extent cx="1259840" cy="2838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022"/>
    <w:multiLevelType w:val="hybridMultilevel"/>
    <w:tmpl w:val="7868A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EF1F6E"/>
    <w:multiLevelType w:val="hybridMultilevel"/>
    <w:tmpl w:val="C70A5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A51EF4"/>
    <w:multiLevelType w:val="multilevel"/>
    <w:tmpl w:val="B942AFAE"/>
    <w:lvl w:ilvl="0">
      <w:start w:val="1"/>
      <w:numFmt w:val="decimal"/>
      <w:pStyle w:val="Rubrik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108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9D77318"/>
    <w:multiLevelType w:val="hybridMultilevel"/>
    <w:tmpl w:val="79202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A82C56"/>
    <w:multiLevelType w:val="hybridMultilevel"/>
    <w:tmpl w:val="416675A4"/>
    <w:lvl w:ilvl="0" w:tplc="8F7E620E">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1166777">
    <w:abstractNumId w:val="2"/>
  </w:num>
  <w:num w:numId="2" w16cid:durableId="901519724">
    <w:abstractNumId w:val="1"/>
  </w:num>
  <w:num w:numId="3" w16cid:durableId="68425601">
    <w:abstractNumId w:val="0"/>
  </w:num>
  <w:num w:numId="4" w16cid:durableId="1734696083">
    <w:abstractNumId w:val="3"/>
  </w:num>
  <w:num w:numId="5" w16cid:durableId="8804800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27"/>
    <w:rsid w:val="000003D8"/>
    <w:rsid w:val="00001BF3"/>
    <w:rsid w:val="000033A2"/>
    <w:rsid w:val="0000378F"/>
    <w:rsid w:val="000053A4"/>
    <w:rsid w:val="00007087"/>
    <w:rsid w:val="00010AD5"/>
    <w:rsid w:val="000168F2"/>
    <w:rsid w:val="0001748F"/>
    <w:rsid w:val="000254E2"/>
    <w:rsid w:val="00033336"/>
    <w:rsid w:val="00034401"/>
    <w:rsid w:val="00035A82"/>
    <w:rsid w:val="000362B2"/>
    <w:rsid w:val="000537CF"/>
    <w:rsid w:val="00053DED"/>
    <w:rsid w:val="00054ECC"/>
    <w:rsid w:val="0005518D"/>
    <w:rsid w:val="000614F0"/>
    <w:rsid w:val="00061B09"/>
    <w:rsid w:val="0006409F"/>
    <w:rsid w:val="0006774A"/>
    <w:rsid w:val="00070C63"/>
    <w:rsid w:val="00086762"/>
    <w:rsid w:val="00087E68"/>
    <w:rsid w:val="000923CC"/>
    <w:rsid w:val="00095639"/>
    <w:rsid w:val="00095A7D"/>
    <w:rsid w:val="000A21F2"/>
    <w:rsid w:val="000A495F"/>
    <w:rsid w:val="000B12C1"/>
    <w:rsid w:val="000B146D"/>
    <w:rsid w:val="000B17F1"/>
    <w:rsid w:val="000B2792"/>
    <w:rsid w:val="000B47A2"/>
    <w:rsid w:val="000B5CBE"/>
    <w:rsid w:val="000B611B"/>
    <w:rsid w:val="000B6455"/>
    <w:rsid w:val="000B7C00"/>
    <w:rsid w:val="000C4C10"/>
    <w:rsid w:val="000C6D8E"/>
    <w:rsid w:val="000D0EF0"/>
    <w:rsid w:val="000D656E"/>
    <w:rsid w:val="000D6B77"/>
    <w:rsid w:val="000E570D"/>
    <w:rsid w:val="000E6291"/>
    <w:rsid w:val="000F5BE1"/>
    <w:rsid w:val="001004A1"/>
    <w:rsid w:val="001008C8"/>
    <w:rsid w:val="001032BA"/>
    <w:rsid w:val="00105773"/>
    <w:rsid w:val="001066D1"/>
    <w:rsid w:val="00111EF3"/>
    <w:rsid w:val="001207B4"/>
    <w:rsid w:val="00123199"/>
    <w:rsid w:val="001237B8"/>
    <w:rsid w:val="001255C0"/>
    <w:rsid w:val="001330DB"/>
    <w:rsid w:val="0013345C"/>
    <w:rsid w:val="001340A8"/>
    <w:rsid w:val="00136575"/>
    <w:rsid w:val="00141984"/>
    <w:rsid w:val="00142CA9"/>
    <w:rsid w:val="00145509"/>
    <w:rsid w:val="0015100A"/>
    <w:rsid w:val="001525D9"/>
    <w:rsid w:val="00152F8F"/>
    <w:rsid w:val="0015313B"/>
    <w:rsid w:val="00154A9B"/>
    <w:rsid w:val="00162254"/>
    <w:rsid w:val="001724C3"/>
    <w:rsid w:val="00191401"/>
    <w:rsid w:val="00193103"/>
    <w:rsid w:val="0019651E"/>
    <w:rsid w:val="001A2208"/>
    <w:rsid w:val="001A5ED7"/>
    <w:rsid w:val="001A6BDC"/>
    <w:rsid w:val="001B1E38"/>
    <w:rsid w:val="001B3543"/>
    <w:rsid w:val="001D67C2"/>
    <w:rsid w:val="001D6E2B"/>
    <w:rsid w:val="001E216D"/>
    <w:rsid w:val="001E5BF4"/>
    <w:rsid w:val="001E78EC"/>
    <w:rsid w:val="001F3171"/>
    <w:rsid w:val="001F405E"/>
    <w:rsid w:val="001F4282"/>
    <w:rsid w:val="001F51BB"/>
    <w:rsid w:val="00201F1F"/>
    <w:rsid w:val="002051B4"/>
    <w:rsid w:val="00206418"/>
    <w:rsid w:val="00206958"/>
    <w:rsid w:val="00211B0F"/>
    <w:rsid w:val="0021264A"/>
    <w:rsid w:val="0021374D"/>
    <w:rsid w:val="002254D6"/>
    <w:rsid w:val="00227A04"/>
    <w:rsid w:val="002343D2"/>
    <w:rsid w:val="00235B44"/>
    <w:rsid w:val="00236003"/>
    <w:rsid w:val="002366CB"/>
    <w:rsid w:val="00237CD9"/>
    <w:rsid w:val="0024082E"/>
    <w:rsid w:val="00244565"/>
    <w:rsid w:val="002446F7"/>
    <w:rsid w:val="00245D01"/>
    <w:rsid w:val="0024646D"/>
    <w:rsid w:val="0024704C"/>
    <w:rsid w:val="00247791"/>
    <w:rsid w:val="0025295C"/>
    <w:rsid w:val="00255486"/>
    <w:rsid w:val="00265394"/>
    <w:rsid w:val="002679BC"/>
    <w:rsid w:val="00267B53"/>
    <w:rsid w:val="00271151"/>
    <w:rsid w:val="002724F0"/>
    <w:rsid w:val="00274C8C"/>
    <w:rsid w:val="00275C87"/>
    <w:rsid w:val="00277EE3"/>
    <w:rsid w:val="002818EA"/>
    <w:rsid w:val="00287AF2"/>
    <w:rsid w:val="002A3DB8"/>
    <w:rsid w:val="002B389B"/>
    <w:rsid w:val="002B4F1F"/>
    <w:rsid w:val="002B59DE"/>
    <w:rsid w:val="002B6C10"/>
    <w:rsid w:val="002C0F4E"/>
    <w:rsid w:val="002C2F2D"/>
    <w:rsid w:val="002C6989"/>
    <w:rsid w:val="002C6D66"/>
    <w:rsid w:val="002D62C9"/>
    <w:rsid w:val="002D7287"/>
    <w:rsid w:val="002E4C31"/>
    <w:rsid w:val="002E5E85"/>
    <w:rsid w:val="002E5EEA"/>
    <w:rsid w:val="002F2298"/>
    <w:rsid w:val="002F2B19"/>
    <w:rsid w:val="002F34C1"/>
    <w:rsid w:val="002F3A82"/>
    <w:rsid w:val="002F3FE8"/>
    <w:rsid w:val="002F7EEB"/>
    <w:rsid w:val="003013A7"/>
    <w:rsid w:val="003032CB"/>
    <w:rsid w:val="003048EA"/>
    <w:rsid w:val="003061D9"/>
    <w:rsid w:val="00306296"/>
    <w:rsid w:val="00306999"/>
    <w:rsid w:val="003077E4"/>
    <w:rsid w:val="00307B80"/>
    <w:rsid w:val="00307EFC"/>
    <w:rsid w:val="00312277"/>
    <w:rsid w:val="003156A9"/>
    <w:rsid w:val="00324456"/>
    <w:rsid w:val="00324980"/>
    <w:rsid w:val="00324C00"/>
    <w:rsid w:val="0032585E"/>
    <w:rsid w:val="00337A2D"/>
    <w:rsid w:val="003408B3"/>
    <w:rsid w:val="00351422"/>
    <w:rsid w:val="00353868"/>
    <w:rsid w:val="00354EFB"/>
    <w:rsid w:val="00356AD7"/>
    <w:rsid w:val="00357D63"/>
    <w:rsid w:val="00360AC9"/>
    <w:rsid w:val="00361B5B"/>
    <w:rsid w:val="00362F76"/>
    <w:rsid w:val="0036466B"/>
    <w:rsid w:val="0036498D"/>
    <w:rsid w:val="003679EE"/>
    <w:rsid w:val="00371095"/>
    <w:rsid w:val="00372D95"/>
    <w:rsid w:val="00375629"/>
    <w:rsid w:val="00375F83"/>
    <w:rsid w:val="00380234"/>
    <w:rsid w:val="00382607"/>
    <w:rsid w:val="00382997"/>
    <w:rsid w:val="00390553"/>
    <w:rsid w:val="003959AD"/>
    <w:rsid w:val="003A14D7"/>
    <w:rsid w:val="003A1749"/>
    <w:rsid w:val="003B5D9F"/>
    <w:rsid w:val="003C777B"/>
    <w:rsid w:val="003D2C93"/>
    <w:rsid w:val="003D3348"/>
    <w:rsid w:val="003D3F5B"/>
    <w:rsid w:val="003D59A7"/>
    <w:rsid w:val="003E1ACD"/>
    <w:rsid w:val="003E31F6"/>
    <w:rsid w:val="003E5459"/>
    <w:rsid w:val="003E7EB5"/>
    <w:rsid w:val="003F0610"/>
    <w:rsid w:val="003F2D38"/>
    <w:rsid w:val="003F45EF"/>
    <w:rsid w:val="003F4E42"/>
    <w:rsid w:val="003F6EC4"/>
    <w:rsid w:val="003F7BAA"/>
    <w:rsid w:val="00402469"/>
    <w:rsid w:val="00410377"/>
    <w:rsid w:val="00414AF1"/>
    <w:rsid w:val="0042094E"/>
    <w:rsid w:val="004266F4"/>
    <w:rsid w:val="00444027"/>
    <w:rsid w:val="0044470D"/>
    <w:rsid w:val="004451D5"/>
    <w:rsid w:val="004535D5"/>
    <w:rsid w:val="0045696B"/>
    <w:rsid w:val="00457FFD"/>
    <w:rsid w:val="00460CEC"/>
    <w:rsid w:val="00462BBD"/>
    <w:rsid w:val="00465181"/>
    <w:rsid w:val="00467002"/>
    <w:rsid w:val="00467A96"/>
    <w:rsid w:val="00474AA5"/>
    <w:rsid w:val="00474C46"/>
    <w:rsid w:val="0048394A"/>
    <w:rsid w:val="00483AED"/>
    <w:rsid w:val="004858DD"/>
    <w:rsid w:val="0048673E"/>
    <w:rsid w:val="004874AE"/>
    <w:rsid w:val="00490887"/>
    <w:rsid w:val="00491451"/>
    <w:rsid w:val="004937A4"/>
    <w:rsid w:val="004950A2"/>
    <w:rsid w:val="004A2A1F"/>
    <w:rsid w:val="004A3A00"/>
    <w:rsid w:val="004B2B02"/>
    <w:rsid w:val="004B3357"/>
    <w:rsid w:val="004C4A82"/>
    <w:rsid w:val="004C79E9"/>
    <w:rsid w:val="004D591B"/>
    <w:rsid w:val="004D69BF"/>
    <w:rsid w:val="004E106A"/>
    <w:rsid w:val="004E4BD5"/>
    <w:rsid w:val="004E50AB"/>
    <w:rsid w:val="004E5343"/>
    <w:rsid w:val="004E5BC6"/>
    <w:rsid w:val="004E6B8C"/>
    <w:rsid w:val="004E7FE9"/>
    <w:rsid w:val="004F2AE3"/>
    <w:rsid w:val="004F5599"/>
    <w:rsid w:val="00505FEE"/>
    <w:rsid w:val="00511AED"/>
    <w:rsid w:val="00517479"/>
    <w:rsid w:val="00517B68"/>
    <w:rsid w:val="00521D76"/>
    <w:rsid w:val="0052323F"/>
    <w:rsid w:val="0052636A"/>
    <w:rsid w:val="00531B4C"/>
    <w:rsid w:val="0053488E"/>
    <w:rsid w:val="00537672"/>
    <w:rsid w:val="00540F58"/>
    <w:rsid w:val="00542BBB"/>
    <w:rsid w:val="00551807"/>
    <w:rsid w:val="00561B12"/>
    <w:rsid w:val="00573570"/>
    <w:rsid w:val="005744A4"/>
    <w:rsid w:val="00577788"/>
    <w:rsid w:val="005801A6"/>
    <w:rsid w:val="00584412"/>
    <w:rsid w:val="00590428"/>
    <w:rsid w:val="00593018"/>
    <w:rsid w:val="00594DD8"/>
    <w:rsid w:val="005A3E18"/>
    <w:rsid w:val="005B4B9A"/>
    <w:rsid w:val="005C24FC"/>
    <w:rsid w:val="005C4670"/>
    <w:rsid w:val="005C54D0"/>
    <w:rsid w:val="005D0A87"/>
    <w:rsid w:val="005D587C"/>
    <w:rsid w:val="005E33EB"/>
    <w:rsid w:val="005E4A2E"/>
    <w:rsid w:val="005F084B"/>
    <w:rsid w:val="005F09EC"/>
    <w:rsid w:val="005F2F3A"/>
    <w:rsid w:val="005F419C"/>
    <w:rsid w:val="005F66D3"/>
    <w:rsid w:val="005F68E3"/>
    <w:rsid w:val="005F7B46"/>
    <w:rsid w:val="005F7BCB"/>
    <w:rsid w:val="00603A2A"/>
    <w:rsid w:val="00605C37"/>
    <w:rsid w:val="00606229"/>
    <w:rsid w:val="00606E13"/>
    <w:rsid w:val="00611F08"/>
    <w:rsid w:val="00620FB8"/>
    <w:rsid w:val="006221B6"/>
    <w:rsid w:val="0062388D"/>
    <w:rsid w:val="0062549D"/>
    <w:rsid w:val="00627F40"/>
    <w:rsid w:val="00631D5A"/>
    <w:rsid w:val="00637BDE"/>
    <w:rsid w:val="00640BFD"/>
    <w:rsid w:val="006420BC"/>
    <w:rsid w:val="00642A8A"/>
    <w:rsid w:val="00644D70"/>
    <w:rsid w:val="00673DC4"/>
    <w:rsid w:val="006807FA"/>
    <w:rsid w:val="00680FB7"/>
    <w:rsid w:val="006823C1"/>
    <w:rsid w:val="006831CA"/>
    <w:rsid w:val="00685683"/>
    <w:rsid w:val="00694D84"/>
    <w:rsid w:val="0069520A"/>
    <w:rsid w:val="00695948"/>
    <w:rsid w:val="00696613"/>
    <w:rsid w:val="006A5861"/>
    <w:rsid w:val="006A6AB9"/>
    <w:rsid w:val="006B0BB3"/>
    <w:rsid w:val="006B1AC3"/>
    <w:rsid w:val="006B1FF2"/>
    <w:rsid w:val="006B2692"/>
    <w:rsid w:val="006B573C"/>
    <w:rsid w:val="006B7C5D"/>
    <w:rsid w:val="006C272E"/>
    <w:rsid w:val="006C6CAF"/>
    <w:rsid w:val="006C73A1"/>
    <w:rsid w:val="006C7B14"/>
    <w:rsid w:val="006D22BF"/>
    <w:rsid w:val="006D284D"/>
    <w:rsid w:val="006D7C0F"/>
    <w:rsid w:val="006D7DBA"/>
    <w:rsid w:val="006E28FB"/>
    <w:rsid w:val="006F0965"/>
    <w:rsid w:val="006F1C8C"/>
    <w:rsid w:val="006F2634"/>
    <w:rsid w:val="006F269E"/>
    <w:rsid w:val="006F2852"/>
    <w:rsid w:val="00703454"/>
    <w:rsid w:val="00703954"/>
    <w:rsid w:val="007051B0"/>
    <w:rsid w:val="00706A90"/>
    <w:rsid w:val="00707E22"/>
    <w:rsid w:val="00712E18"/>
    <w:rsid w:val="0071301F"/>
    <w:rsid w:val="00715A48"/>
    <w:rsid w:val="00716710"/>
    <w:rsid w:val="0071725E"/>
    <w:rsid w:val="00721486"/>
    <w:rsid w:val="00721518"/>
    <w:rsid w:val="007233DA"/>
    <w:rsid w:val="007255BE"/>
    <w:rsid w:val="00726A71"/>
    <w:rsid w:val="00726D5E"/>
    <w:rsid w:val="00727217"/>
    <w:rsid w:val="00730D60"/>
    <w:rsid w:val="00741509"/>
    <w:rsid w:val="00742F8C"/>
    <w:rsid w:val="007468A9"/>
    <w:rsid w:val="0074750E"/>
    <w:rsid w:val="007475C0"/>
    <w:rsid w:val="00756E45"/>
    <w:rsid w:val="007604A1"/>
    <w:rsid w:val="007628D7"/>
    <w:rsid w:val="0076656B"/>
    <w:rsid w:val="007757C3"/>
    <w:rsid w:val="00776938"/>
    <w:rsid w:val="00780726"/>
    <w:rsid w:val="007818F7"/>
    <w:rsid w:val="007856E8"/>
    <w:rsid w:val="00787866"/>
    <w:rsid w:val="007909E8"/>
    <w:rsid w:val="0079220D"/>
    <w:rsid w:val="00793519"/>
    <w:rsid w:val="007A63AC"/>
    <w:rsid w:val="007B1C69"/>
    <w:rsid w:val="007B58B2"/>
    <w:rsid w:val="007C045F"/>
    <w:rsid w:val="007C0CAB"/>
    <w:rsid w:val="007C182C"/>
    <w:rsid w:val="007C1C7D"/>
    <w:rsid w:val="007D00F4"/>
    <w:rsid w:val="007D198F"/>
    <w:rsid w:val="007D2698"/>
    <w:rsid w:val="007D3022"/>
    <w:rsid w:val="007D785A"/>
    <w:rsid w:val="007E4E25"/>
    <w:rsid w:val="007F0AF9"/>
    <w:rsid w:val="007F167E"/>
    <w:rsid w:val="007F4DBC"/>
    <w:rsid w:val="00803281"/>
    <w:rsid w:val="0080644A"/>
    <w:rsid w:val="008103F2"/>
    <w:rsid w:val="008104F7"/>
    <w:rsid w:val="00811FC8"/>
    <w:rsid w:val="00814C77"/>
    <w:rsid w:val="008224FD"/>
    <w:rsid w:val="00824CAF"/>
    <w:rsid w:val="008270D0"/>
    <w:rsid w:val="0084169D"/>
    <w:rsid w:val="00850AE4"/>
    <w:rsid w:val="00851F32"/>
    <w:rsid w:val="008639D9"/>
    <w:rsid w:val="0086468C"/>
    <w:rsid w:val="00866E4A"/>
    <w:rsid w:val="00871EB4"/>
    <w:rsid w:val="00872DEB"/>
    <w:rsid w:val="008751A4"/>
    <w:rsid w:val="00880896"/>
    <w:rsid w:val="00885BF5"/>
    <w:rsid w:val="00887B15"/>
    <w:rsid w:val="00893414"/>
    <w:rsid w:val="00893B16"/>
    <w:rsid w:val="008A1C1F"/>
    <w:rsid w:val="008B47BD"/>
    <w:rsid w:val="008D0748"/>
    <w:rsid w:val="008D0BC9"/>
    <w:rsid w:val="008D11D9"/>
    <w:rsid w:val="008D62EA"/>
    <w:rsid w:val="008E5241"/>
    <w:rsid w:val="008E5B45"/>
    <w:rsid w:val="008F3F1A"/>
    <w:rsid w:val="008F417B"/>
    <w:rsid w:val="008F4E25"/>
    <w:rsid w:val="008F545E"/>
    <w:rsid w:val="00900A36"/>
    <w:rsid w:val="00901EE2"/>
    <w:rsid w:val="009045BC"/>
    <w:rsid w:val="00905D04"/>
    <w:rsid w:val="00905DEC"/>
    <w:rsid w:val="00906677"/>
    <w:rsid w:val="00907123"/>
    <w:rsid w:val="0091482E"/>
    <w:rsid w:val="0092037C"/>
    <w:rsid w:val="009224BA"/>
    <w:rsid w:val="009337A1"/>
    <w:rsid w:val="00936910"/>
    <w:rsid w:val="0094157A"/>
    <w:rsid w:val="0094365B"/>
    <w:rsid w:val="009438CF"/>
    <w:rsid w:val="00945911"/>
    <w:rsid w:val="00945B3D"/>
    <w:rsid w:val="00951552"/>
    <w:rsid w:val="009640BF"/>
    <w:rsid w:val="009650E6"/>
    <w:rsid w:val="00965199"/>
    <w:rsid w:val="00965C94"/>
    <w:rsid w:val="0096695F"/>
    <w:rsid w:val="00967209"/>
    <w:rsid w:val="00970305"/>
    <w:rsid w:val="00970C7C"/>
    <w:rsid w:val="0097378D"/>
    <w:rsid w:val="0097468B"/>
    <w:rsid w:val="009772E6"/>
    <w:rsid w:val="00993AB7"/>
    <w:rsid w:val="00995945"/>
    <w:rsid w:val="009964AB"/>
    <w:rsid w:val="009A0716"/>
    <w:rsid w:val="009A0C17"/>
    <w:rsid w:val="009B1F47"/>
    <w:rsid w:val="009B3D67"/>
    <w:rsid w:val="009B6958"/>
    <w:rsid w:val="009C3C7C"/>
    <w:rsid w:val="009C43B6"/>
    <w:rsid w:val="009C5659"/>
    <w:rsid w:val="009C5831"/>
    <w:rsid w:val="009D319A"/>
    <w:rsid w:val="009D50AF"/>
    <w:rsid w:val="009D5C14"/>
    <w:rsid w:val="009E2766"/>
    <w:rsid w:val="009E3479"/>
    <w:rsid w:val="009F1401"/>
    <w:rsid w:val="009F4F6F"/>
    <w:rsid w:val="00A02748"/>
    <w:rsid w:val="00A02B87"/>
    <w:rsid w:val="00A04454"/>
    <w:rsid w:val="00A112EF"/>
    <w:rsid w:val="00A12247"/>
    <w:rsid w:val="00A14FB6"/>
    <w:rsid w:val="00A16178"/>
    <w:rsid w:val="00A314D2"/>
    <w:rsid w:val="00A36350"/>
    <w:rsid w:val="00A409A8"/>
    <w:rsid w:val="00A4214F"/>
    <w:rsid w:val="00A520C7"/>
    <w:rsid w:val="00A52D37"/>
    <w:rsid w:val="00A5395C"/>
    <w:rsid w:val="00A53DE0"/>
    <w:rsid w:val="00A5566B"/>
    <w:rsid w:val="00A566BC"/>
    <w:rsid w:val="00A64D91"/>
    <w:rsid w:val="00A814D4"/>
    <w:rsid w:val="00A85043"/>
    <w:rsid w:val="00A868B0"/>
    <w:rsid w:val="00A904C3"/>
    <w:rsid w:val="00A93947"/>
    <w:rsid w:val="00AA1219"/>
    <w:rsid w:val="00AA165C"/>
    <w:rsid w:val="00AA2E22"/>
    <w:rsid w:val="00AA3EF0"/>
    <w:rsid w:val="00AA44EE"/>
    <w:rsid w:val="00AA6D98"/>
    <w:rsid w:val="00AC077F"/>
    <w:rsid w:val="00AC174B"/>
    <w:rsid w:val="00AC281F"/>
    <w:rsid w:val="00AC6BA4"/>
    <w:rsid w:val="00AC78CE"/>
    <w:rsid w:val="00AD0E3D"/>
    <w:rsid w:val="00AE3D7E"/>
    <w:rsid w:val="00AE644C"/>
    <w:rsid w:val="00AF2708"/>
    <w:rsid w:val="00AF3B19"/>
    <w:rsid w:val="00AF4443"/>
    <w:rsid w:val="00AF69A4"/>
    <w:rsid w:val="00B0554E"/>
    <w:rsid w:val="00B1098D"/>
    <w:rsid w:val="00B138AF"/>
    <w:rsid w:val="00B20640"/>
    <w:rsid w:val="00B21313"/>
    <w:rsid w:val="00B21F54"/>
    <w:rsid w:val="00B31C60"/>
    <w:rsid w:val="00B41687"/>
    <w:rsid w:val="00B4574E"/>
    <w:rsid w:val="00B50386"/>
    <w:rsid w:val="00B526BE"/>
    <w:rsid w:val="00B52C5D"/>
    <w:rsid w:val="00B5447D"/>
    <w:rsid w:val="00B575B9"/>
    <w:rsid w:val="00B61E7C"/>
    <w:rsid w:val="00B62E73"/>
    <w:rsid w:val="00B63A74"/>
    <w:rsid w:val="00B63E21"/>
    <w:rsid w:val="00B662C2"/>
    <w:rsid w:val="00B707CD"/>
    <w:rsid w:val="00B72F89"/>
    <w:rsid w:val="00B77793"/>
    <w:rsid w:val="00B823FA"/>
    <w:rsid w:val="00B842A7"/>
    <w:rsid w:val="00B86AB6"/>
    <w:rsid w:val="00B94D3C"/>
    <w:rsid w:val="00BA1A39"/>
    <w:rsid w:val="00BA2CB3"/>
    <w:rsid w:val="00BA3E01"/>
    <w:rsid w:val="00BA59D0"/>
    <w:rsid w:val="00BB0080"/>
    <w:rsid w:val="00BB25D7"/>
    <w:rsid w:val="00BB5F1E"/>
    <w:rsid w:val="00BB7D6C"/>
    <w:rsid w:val="00BC0A5A"/>
    <w:rsid w:val="00BC33C8"/>
    <w:rsid w:val="00BC5522"/>
    <w:rsid w:val="00BC5D6C"/>
    <w:rsid w:val="00BD15A2"/>
    <w:rsid w:val="00BD16D8"/>
    <w:rsid w:val="00BD3328"/>
    <w:rsid w:val="00BD4C9B"/>
    <w:rsid w:val="00BD543C"/>
    <w:rsid w:val="00BE2785"/>
    <w:rsid w:val="00BF0FC9"/>
    <w:rsid w:val="00BF40DC"/>
    <w:rsid w:val="00C043A1"/>
    <w:rsid w:val="00C064AA"/>
    <w:rsid w:val="00C1012F"/>
    <w:rsid w:val="00C10661"/>
    <w:rsid w:val="00C122DC"/>
    <w:rsid w:val="00C134B9"/>
    <w:rsid w:val="00C31E81"/>
    <w:rsid w:val="00C35B41"/>
    <w:rsid w:val="00C36E0D"/>
    <w:rsid w:val="00C40C42"/>
    <w:rsid w:val="00C4244F"/>
    <w:rsid w:val="00C43AD4"/>
    <w:rsid w:val="00C45107"/>
    <w:rsid w:val="00C5384F"/>
    <w:rsid w:val="00C53860"/>
    <w:rsid w:val="00C60CBD"/>
    <w:rsid w:val="00C6760D"/>
    <w:rsid w:val="00C73C8D"/>
    <w:rsid w:val="00C740AA"/>
    <w:rsid w:val="00C768C0"/>
    <w:rsid w:val="00C77E14"/>
    <w:rsid w:val="00C821F1"/>
    <w:rsid w:val="00C840FD"/>
    <w:rsid w:val="00CB03FC"/>
    <w:rsid w:val="00CB48BF"/>
    <w:rsid w:val="00CB6CC9"/>
    <w:rsid w:val="00CC7AED"/>
    <w:rsid w:val="00CD01BB"/>
    <w:rsid w:val="00CD2223"/>
    <w:rsid w:val="00CD3DBB"/>
    <w:rsid w:val="00CD4223"/>
    <w:rsid w:val="00CD6747"/>
    <w:rsid w:val="00CD762E"/>
    <w:rsid w:val="00CE058B"/>
    <w:rsid w:val="00CE1CEF"/>
    <w:rsid w:val="00CE6B70"/>
    <w:rsid w:val="00CE71AD"/>
    <w:rsid w:val="00CF2985"/>
    <w:rsid w:val="00D05A6A"/>
    <w:rsid w:val="00D06289"/>
    <w:rsid w:val="00D065F6"/>
    <w:rsid w:val="00D06CC1"/>
    <w:rsid w:val="00D10A31"/>
    <w:rsid w:val="00D12762"/>
    <w:rsid w:val="00D131E6"/>
    <w:rsid w:val="00D14777"/>
    <w:rsid w:val="00D31DBC"/>
    <w:rsid w:val="00D34495"/>
    <w:rsid w:val="00D37ED8"/>
    <w:rsid w:val="00D407AC"/>
    <w:rsid w:val="00D46862"/>
    <w:rsid w:val="00D534C6"/>
    <w:rsid w:val="00D545B8"/>
    <w:rsid w:val="00D57D29"/>
    <w:rsid w:val="00D634AC"/>
    <w:rsid w:val="00D65D35"/>
    <w:rsid w:val="00D709AD"/>
    <w:rsid w:val="00D7236B"/>
    <w:rsid w:val="00D74B3B"/>
    <w:rsid w:val="00D75BE4"/>
    <w:rsid w:val="00D8266B"/>
    <w:rsid w:val="00D82A07"/>
    <w:rsid w:val="00D861A0"/>
    <w:rsid w:val="00D907C8"/>
    <w:rsid w:val="00D91A54"/>
    <w:rsid w:val="00D95A38"/>
    <w:rsid w:val="00D977BE"/>
    <w:rsid w:val="00DA1D59"/>
    <w:rsid w:val="00DA2712"/>
    <w:rsid w:val="00DB59DA"/>
    <w:rsid w:val="00DB673C"/>
    <w:rsid w:val="00DC05EC"/>
    <w:rsid w:val="00DC4A95"/>
    <w:rsid w:val="00DD2103"/>
    <w:rsid w:val="00DD584A"/>
    <w:rsid w:val="00DD660E"/>
    <w:rsid w:val="00DE1746"/>
    <w:rsid w:val="00DF31A9"/>
    <w:rsid w:val="00E03F6F"/>
    <w:rsid w:val="00E05651"/>
    <w:rsid w:val="00E05E45"/>
    <w:rsid w:val="00E13066"/>
    <w:rsid w:val="00E15512"/>
    <w:rsid w:val="00E1720D"/>
    <w:rsid w:val="00E23E56"/>
    <w:rsid w:val="00E24042"/>
    <w:rsid w:val="00E3410C"/>
    <w:rsid w:val="00E34AE4"/>
    <w:rsid w:val="00E35995"/>
    <w:rsid w:val="00E41161"/>
    <w:rsid w:val="00E5180D"/>
    <w:rsid w:val="00E603D1"/>
    <w:rsid w:val="00E679A6"/>
    <w:rsid w:val="00E71D0F"/>
    <w:rsid w:val="00E7348D"/>
    <w:rsid w:val="00E84AB1"/>
    <w:rsid w:val="00E84E49"/>
    <w:rsid w:val="00E867F4"/>
    <w:rsid w:val="00E86C47"/>
    <w:rsid w:val="00E92FC5"/>
    <w:rsid w:val="00E93EC1"/>
    <w:rsid w:val="00E96A89"/>
    <w:rsid w:val="00EA218E"/>
    <w:rsid w:val="00EA6CC0"/>
    <w:rsid w:val="00EA6EBF"/>
    <w:rsid w:val="00EB2061"/>
    <w:rsid w:val="00EB6ACF"/>
    <w:rsid w:val="00EC06AC"/>
    <w:rsid w:val="00ED2250"/>
    <w:rsid w:val="00ED69FB"/>
    <w:rsid w:val="00EE2C0F"/>
    <w:rsid w:val="00EE32AC"/>
    <w:rsid w:val="00EE497E"/>
    <w:rsid w:val="00EE6729"/>
    <w:rsid w:val="00EE7253"/>
    <w:rsid w:val="00EF0072"/>
    <w:rsid w:val="00EF173E"/>
    <w:rsid w:val="00EF402B"/>
    <w:rsid w:val="00EF664C"/>
    <w:rsid w:val="00F01192"/>
    <w:rsid w:val="00F01ECD"/>
    <w:rsid w:val="00F031FF"/>
    <w:rsid w:val="00F051E4"/>
    <w:rsid w:val="00F14F5F"/>
    <w:rsid w:val="00F157E2"/>
    <w:rsid w:val="00F21D85"/>
    <w:rsid w:val="00F30A92"/>
    <w:rsid w:val="00F3240D"/>
    <w:rsid w:val="00F60E27"/>
    <w:rsid w:val="00F61AF9"/>
    <w:rsid w:val="00F627E7"/>
    <w:rsid w:val="00F635EB"/>
    <w:rsid w:val="00F66C49"/>
    <w:rsid w:val="00F71393"/>
    <w:rsid w:val="00F73DB5"/>
    <w:rsid w:val="00F74C17"/>
    <w:rsid w:val="00F75C4F"/>
    <w:rsid w:val="00F8275C"/>
    <w:rsid w:val="00F92673"/>
    <w:rsid w:val="00FA0591"/>
    <w:rsid w:val="00FA1A02"/>
    <w:rsid w:val="00FB7018"/>
    <w:rsid w:val="00FB7063"/>
    <w:rsid w:val="00FC61ED"/>
    <w:rsid w:val="00FD0C49"/>
    <w:rsid w:val="00FD0C57"/>
    <w:rsid w:val="00FD1737"/>
    <w:rsid w:val="00FD1F5D"/>
    <w:rsid w:val="00FD297F"/>
    <w:rsid w:val="00FD422B"/>
    <w:rsid w:val="00FE13B0"/>
    <w:rsid w:val="00FE572F"/>
    <w:rsid w:val="00FE5933"/>
    <w:rsid w:val="00FE7E9C"/>
    <w:rsid w:val="00FF1A77"/>
    <w:rsid w:val="00FF5C4E"/>
    <w:rsid w:val="01160DDE"/>
    <w:rsid w:val="1BA9FD56"/>
    <w:rsid w:val="2C48F66D"/>
    <w:rsid w:val="4604C69F"/>
    <w:rsid w:val="7FC4C59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87A9"/>
  <w15:chartTrackingRefBased/>
  <w15:docId w15:val="{CACD2D5C-FD1C-4F01-8A44-035F5F34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84"/>
    <w:pPr>
      <w:spacing w:after="0" w:line="276" w:lineRule="auto"/>
      <w:jc w:val="both"/>
    </w:pPr>
    <w:rPr>
      <w:rFonts w:ascii="Garamond" w:hAnsi="Garamond"/>
      <w:sz w:val="24"/>
      <w:szCs w:val="24"/>
    </w:rPr>
  </w:style>
  <w:style w:type="paragraph" w:styleId="Rubrik1">
    <w:name w:val="heading 1"/>
    <w:basedOn w:val="Liststycke"/>
    <w:next w:val="Normal"/>
    <w:link w:val="Rubrik1Char"/>
    <w:uiPriority w:val="9"/>
    <w:qFormat/>
    <w:rsid w:val="00AA1219"/>
    <w:pPr>
      <w:numPr>
        <w:numId w:val="1"/>
      </w:numPr>
      <w:outlineLvl w:val="0"/>
    </w:pPr>
    <w:rPr>
      <w:rFonts w:cs="Times New Roman"/>
      <w:b/>
      <w:bCs/>
      <w:sz w:val="28"/>
      <w:lang w:eastAsia="sv-SE"/>
    </w:rPr>
  </w:style>
  <w:style w:type="paragraph" w:styleId="Rubrik2">
    <w:name w:val="heading 2"/>
    <w:basedOn w:val="Rubrik1"/>
    <w:next w:val="Normal"/>
    <w:link w:val="Rubrik2Char"/>
    <w:autoRedefine/>
    <w:uiPriority w:val="9"/>
    <w:unhideWhenUsed/>
    <w:qFormat/>
    <w:rsid w:val="008751A4"/>
    <w:pPr>
      <w:numPr>
        <w:ilvl w:val="1"/>
      </w:numPr>
      <w:tabs>
        <w:tab w:val="left" w:pos="426"/>
      </w:tabs>
      <w:spacing w:line="240" w:lineRule="auto"/>
      <w:ind w:left="0" w:firstLine="0"/>
      <w:contextualSpacing w:val="0"/>
      <w:jc w:val="left"/>
      <w:outlineLvl w:val="1"/>
    </w:pPr>
    <w:rPr>
      <w:bCs w:val="0"/>
      <w:sz w:val="24"/>
    </w:rPr>
  </w:style>
  <w:style w:type="paragraph" w:styleId="Rubrik3">
    <w:name w:val="heading 3"/>
    <w:basedOn w:val="Liststycke"/>
    <w:next w:val="Liststycke"/>
    <w:link w:val="Rubrik3Char"/>
    <w:autoRedefine/>
    <w:uiPriority w:val="9"/>
    <w:unhideWhenUsed/>
    <w:qFormat/>
    <w:rsid w:val="00235B44"/>
    <w:pPr>
      <w:numPr>
        <w:ilvl w:val="2"/>
        <w:numId w:val="1"/>
      </w:numPr>
      <w:ind w:left="567" w:hanging="567"/>
      <w:outlineLvl w:val="2"/>
    </w:pPr>
    <w:rPr>
      <w:b/>
    </w:rPr>
  </w:style>
  <w:style w:type="paragraph" w:styleId="Rubrik4">
    <w:name w:val="heading 4"/>
    <w:basedOn w:val="Normal"/>
    <w:next w:val="Normal"/>
    <w:link w:val="Rubrik4Char"/>
    <w:uiPriority w:val="9"/>
    <w:semiHidden/>
    <w:unhideWhenUsed/>
    <w:qFormat/>
    <w:rsid w:val="00850A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402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44027"/>
  </w:style>
  <w:style w:type="paragraph" w:styleId="Sidfot">
    <w:name w:val="footer"/>
    <w:basedOn w:val="Normal"/>
    <w:link w:val="SidfotChar"/>
    <w:uiPriority w:val="99"/>
    <w:unhideWhenUsed/>
    <w:rsid w:val="00444027"/>
    <w:pPr>
      <w:tabs>
        <w:tab w:val="center" w:pos="4536"/>
        <w:tab w:val="right" w:pos="9072"/>
      </w:tabs>
      <w:spacing w:line="240" w:lineRule="auto"/>
    </w:pPr>
  </w:style>
  <w:style w:type="character" w:customStyle="1" w:styleId="SidfotChar">
    <w:name w:val="Sidfot Char"/>
    <w:basedOn w:val="Standardstycketeckensnitt"/>
    <w:link w:val="Sidfot"/>
    <w:uiPriority w:val="99"/>
    <w:rsid w:val="00444027"/>
  </w:style>
  <w:style w:type="table" w:styleId="Tabellrutnt">
    <w:name w:val="Table Grid"/>
    <w:basedOn w:val="Normaltabell"/>
    <w:uiPriority w:val="59"/>
    <w:rsid w:val="0044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A1219"/>
    <w:rPr>
      <w:rFonts w:ascii="Garamond" w:hAnsi="Garamond" w:cs="Times New Roman"/>
      <w:b/>
      <w:bCs/>
      <w:sz w:val="28"/>
      <w:szCs w:val="24"/>
      <w:lang w:eastAsia="sv-SE"/>
    </w:rPr>
  </w:style>
  <w:style w:type="paragraph" w:styleId="Liststycke">
    <w:name w:val="List Paragraph"/>
    <w:basedOn w:val="Normal"/>
    <w:uiPriority w:val="34"/>
    <w:qFormat/>
    <w:rsid w:val="007604A1"/>
    <w:pPr>
      <w:ind w:left="720"/>
      <w:contextualSpacing/>
    </w:pPr>
  </w:style>
  <w:style w:type="character" w:customStyle="1" w:styleId="Rubrik2Char">
    <w:name w:val="Rubrik 2 Char"/>
    <w:basedOn w:val="Standardstycketeckensnitt"/>
    <w:link w:val="Rubrik2"/>
    <w:uiPriority w:val="9"/>
    <w:rsid w:val="008751A4"/>
    <w:rPr>
      <w:rFonts w:ascii="Garamond" w:hAnsi="Garamond" w:cs="Times New Roman"/>
      <w:b/>
      <w:sz w:val="24"/>
      <w:szCs w:val="24"/>
    </w:rPr>
  </w:style>
  <w:style w:type="character" w:customStyle="1" w:styleId="Rubrik3Char">
    <w:name w:val="Rubrik 3 Char"/>
    <w:basedOn w:val="Standardstycketeckensnitt"/>
    <w:link w:val="Rubrik3"/>
    <w:uiPriority w:val="9"/>
    <w:rsid w:val="00235B44"/>
    <w:rPr>
      <w:rFonts w:ascii="Garamond" w:hAnsi="Garamond"/>
      <w:b/>
      <w:sz w:val="24"/>
      <w:szCs w:val="24"/>
    </w:rPr>
  </w:style>
  <w:style w:type="paragraph" w:styleId="Innehllsfrteckningsrubrik">
    <w:name w:val="TOC Heading"/>
    <w:basedOn w:val="Rubrik1"/>
    <w:next w:val="Normal"/>
    <w:uiPriority w:val="39"/>
    <w:unhideWhenUsed/>
    <w:qFormat/>
    <w:rsid w:val="00D91A54"/>
    <w:pPr>
      <w:keepNext/>
      <w:keepLines/>
      <w:spacing w:before="240"/>
      <w:outlineLvl w:val="9"/>
    </w:pPr>
    <w:rPr>
      <w:rFonts w:asciiTheme="majorHAnsi" w:eastAsiaTheme="majorEastAsia" w:hAnsiTheme="majorHAnsi" w:cstheme="majorBidi"/>
      <w:b w:val="0"/>
      <w:bCs w:val="0"/>
      <w:color w:val="2F5496" w:themeColor="accent1" w:themeShade="BF"/>
      <w:sz w:val="32"/>
      <w:szCs w:val="32"/>
    </w:rPr>
  </w:style>
  <w:style w:type="paragraph" w:styleId="Innehll1">
    <w:name w:val="toc 1"/>
    <w:basedOn w:val="Normal"/>
    <w:next w:val="Normal"/>
    <w:autoRedefine/>
    <w:uiPriority w:val="39"/>
    <w:unhideWhenUsed/>
    <w:rsid w:val="00631D5A"/>
    <w:pPr>
      <w:tabs>
        <w:tab w:val="left" w:pos="426"/>
        <w:tab w:val="right" w:leader="dot" w:pos="9062"/>
      </w:tabs>
      <w:spacing w:after="100"/>
    </w:pPr>
  </w:style>
  <w:style w:type="paragraph" w:styleId="Innehll2">
    <w:name w:val="toc 2"/>
    <w:basedOn w:val="Normal"/>
    <w:next w:val="Normal"/>
    <w:autoRedefine/>
    <w:uiPriority w:val="39"/>
    <w:unhideWhenUsed/>
    <w:rsid w:val="00D91A54"/>
    <w:pPr>
      <w:spacing w:after="100"/>
      <w:ind w:left="220"/>
    </w:pPr>
  </w:style>
  <w:style w:type="paragraph" w:styleId="Innehll3">
    <w:name w:val="toc 3"/>
    <w:basedOn w:val="Normal"/>
    <w:next w:val="Normal"/>
    <w:autoRedefine/>
    <w:uiPriority w:val="39"/>
    <w:unhideWhenUsed/>
    <w:rsid w:val="00D91A54"/>
    <w:pPr>
      <w:spacing w:after="100"/>
      <w:ind w:left="440"/>
    </w:pPr>
  </w:style>
  <w:style w:type="character" w:styleId="Hyperlnk">
    <w:name w:val="Hyperlink"/>
    <w:basedOn w:val="Standardstycketeckensnitt"/>
    <w:uiPriority w:val="99"/>
    <w:unhideWhenUsed/>
    <w:rsid w:val="00D91A54"/>
    <w:rPr>
      <w:color w:val="0563C1" w:themeColor="hyperlink"/>
      <w:u w:val="single"/>
    </w:rPr>
  </w:style>
  <w:style w:type="paragraph" w:styleId="Ballongtext">
    <w:name w:val="Balloon Text"/>
    <w:basedOn w:val="Normal"/>
    <w:link w:val="BallongtextChar"/>
    <w:uiPriority w:val="99"/>
    <w:semiHidden/>
    <w:unhideWhenUsed/>
    <w:rsid w:val="00483A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3AED"/>
    <w:rPr>
      <w:rFonts w:ascii="Segoe UI" w:hAnsi="Segoe UI" w:cs="Segoe UI"/>
      <w:sz w:val="18"/>
      <w:szCs w:val="18"/>
    </w:rPr>
  </w:style>
  <w:style w:type="character" w:styleId="Kommentarsreferens">
    <w:name w:val="annotation reference"/>
    <w:basedOn w:val="Standardstycketeckensnitt"/>
    <w:uiPriority w:val="99"/>
    <w:semiHidden/>
    <w:unhideWhenUsed/>
    <w:rsid w:val="00465181"/>
    <w:rPr>
      <w:sz w:val="16"/>
      <w:szCs w:val="16"/>
    </w:rPr>
  </w:style>
  <w:style w:type="paragraph" w:styleId="Kommentarer">
    <w:name w:val="annotation text"/>
    <w:basedOn w:val="Normal"/>
    <w:link w:val="KommentarerChar"/>
    <w:uiPriority w:val="99"/>
    <w:unhideWhenUsed/>
    <w:rsid w:val="00465181"/>
    <w:pPr>
      <w:spacing w:line="240" w:lineRule="auto"/>
      <w:jc w:val="left"/>
    </w:pPr>
    <w:rPr>
      <w:rFonts w:ascii="Times New Roman" w:hAnsi="Times New Roman" w:cs="Times New Roman"/>
      <w:sz w:val="20"/>
      <w:szCs w:val="20"/>
    </w:rPr>
  </w:style>
  <w:style w:type="character" w:customStyle="1" w:styleId="KommentarerChar">
    <w:name w:val="Kommentarer Char"/>
    <w:basedOn w:val="Standardstycketeckensnitt"/>
    <w:link w:val="Kommentarer"/>
    <w:uiPriority w:val="99"/>
    <w:rsid w:val="00465181"/>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63A74"/>
    <w:pPr>
      <w:jc w:val="both"/>
    </w:pPr>
    <w:rPr>
      <w:rFonts w:ascii="Garamond" w:hAnsi="Garamond" w:cstheme="minorBidi"/>
      <w:b/>
      <w:bCs/>
    </w:rPr>
  </w:style>
  <w:style w:type="character" w:customStyle="1" w:styleId="KommentarsmneChar">
    <w:name w:val="Kommentarsämne Char"/>
    <w:basedOn w:val="KommentarerChar"/>
    <w:link w:val="Kommentarsmne"/>
    <w:uiPriority w:val="99"/>
    <w:semiHidden/>
    <w:rsid w:val="00B63A74"/>
    <w:rPr>
      <w:rFonts w:ascii="Garamond" w:hAnsi="Garamond" w:cs="Times New Roman"/>
      <w:b/>
      <w:bCs/>
      <w:sz w:val="20"/>
      <w:szCs w:val="20"/>
    </w:rPr>
  </w:style>
  <w:style w:type="paragraph" w:styleId="Brdtext">
    <w:name w:val="Body Text"/>
    <w:basedOn w:val="Rubrik1"/>
    <w:link w:val="BrdtextChar"/>
    <w:autoRedefine/>
    <w:qFormat/>
    <w:rsid w:val="00D407AC"/>
    <w:pPr>
      <w:keepNext/>
      <w:widowControl w:val="0"/>
      <w:numPr>
        <w:ilvl w:val="1"/>
        <w:numId w:val="0"/>
      </w:numPr>
      <w:tabs>
        <w:tab w:val="left" w:pos="1134"/>
      </w:tabs>
      <w:suppressAutoHyphens/>
      <w:spacing w:before="120" w:after="180" w:line="240" w:lineRule="auto"/>
      <w:ind w:left="567" w:hanging="567"/>
      <w:contextualSpacing w:val="0"/>
      <w:outlineLvl w:val="9"/>
    </w:pPr>
    <w:rPr>
      <w:rFonts w:eastAsia="Times New Roman" w:cs="Arial"/>
      <w:b w:val="0"/>
      <w:kern w:val="32"/>
      <w:sz w:val="24"/>
      <w:szCs w:val="32"/>
    </w:rPr>
  </w:style>
  <w:style w:type="character" w:customStyle="1" w:styleId="BrdtextChar">
    <w:name w:val="Brödtext Char"/>
    <w:basedOn w:val="Standardstycketeckensnitt"/>
    <w:link w:val="Brdtext"/>
    <w:rsid w:val="00D407AC"/>
    <w:rPr>
      <w:rFonts w:ascii="Garamond" w:eastAsia="Times New Roman" w:hAnsi="Garamond" w:cs="Arial"/>
      <w:bCs/>
      <w:kern w:val="32"/>
      <w:sz w:val="24"/>
      <w:szCs w:val="32"/>
      <w:lang w:eastAsia="sv-SE"/>
    </w:rPr>
  </w:style>
  <w:style w:type="character" w:customStyle="1" w:styleId="Rubrik4Char">
    <w:name w:val="Rubrik 4 Char"/>
    <w:basedOn w:val="Standardstycketeckensnitt"/>
    <w:link w:val="Rubrik4"/>
    <w:uiPriority w:val="9"/>
    <w:semiHidden/>
    <w:rsid w:val="00850AE4"/>
    <w:rPr>
      <w:rFonts w:asciiTheme="majorHAnsi" w:eastAsiaTheme="majorEastAsia" w:hAnsiTheme="majorHAnsi" w:cstheme="majorBidi"/>
      <w:i/>
      <w:iCs/>
      <w:color w:val="2F5496" w:themeColor="accent1" w:themeShade="BF"/>
      <w:sz w:val="24"/>
      <w:szCs w:val="24"/>
    </w:rPr>
  </w:style>
  <w:style w:type="paragraph" w:styleId="Brdtext2">
    <w:name w:val="Body Text 2"/>
    <w:basedOn w:val="Normal"/>
    <w:link w:val="Brdtext2Char"/>
    <w:uiPriority w:val="99"/>
    <w:semiHidden/>
    <w:unhideWhenUsed/>
    <w:rsid w:val="00FE572F"/>
    <w:pPr>
      <w:spacing w:after="120" w:line="480" w:lineRule="auto"/>
    </w:pPr>
  </w:style>
  <w:style w:type="character" w:customStyle="1" w:styleId="Brdtext2Char">
    <w:name w:val="Brödtext 2 Char"/>
    <w:basedOn w:val="Standardstycketeckensnitt"/>
    <w:link w:val="Brdtext2"/>
    <w:uiPriority w:val="99"/>
    <w:semiHidden/>
    <w:rsid w:val="00FE572F"/>
    <w:rPr>
      <w:rFonts w:ascii="Garamond" w:hAnsi="Garamond"/>
      <w:sz w:val="24"/>
      <w:szCs w:val="24"/>
    </w:rPr>
  </w:style>
  <w:style w:type="paragraph" w:styleId="Revision">
    <w:name w:val="Revision"/>
    <w:hidden/>
    <w:uiPriority w:val="99"/>
    <w:semiHidden/>
    <w:rsid w:val="00EA218E"/>
    <w:pPr>
      <w:spacing w:after="0" w:line="240" w:lineRule="auto"/>
    </w:pPr>
    <w:rPr>
      <w:rFonts w:ascii="Garamond" w:hAnsi="Garamond"/>
      <w:sz w:val="24"/>
      <w:szCs w:val="24"/>
    </w:rPr>
  </w:style>
  <w:style w:type="character" w:styleId="Olstomnmnande">
    <w:name w:val="Unresolved Mention"/>
    <w:basedOn w:val="Standardstycketeckensnitt"/>
    <w:uiPriority w:val="99"/>
    <w:semiHidden/>
    <w:unhideWhenUsed/>
    <w:rsid w:val="00086762"/>
    <w:rPr>
      <w:color w:val="605E5C"/>
      <w:shd w:val="clear" w:color="auto" w:fill="E1DFDD"/>
    </w:rPr>
  </w:style>
  <w:style w:type="character" w:styleId="Nmn">
    <w:name w:val="Mention"/>
    <w:basedOn w:val="Standardstycketeckensnitt"/>
    <w:uiPriority w:val="99"/>
    <w:unhideWhenUsed/>
    <w:rsid w:val="003710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11256453517D640A21CE068D1AD6419" ma:contentTypeVersion="8" ma:contentTypeDescription="Skapa ett nytt dokument." ma:contentTypeScope="" ma:versionID="2b831e753705195707395593747bd3a6">
  <xsd:schema xmlns:xsd="http://www.w3.org/2001/XMLSchema" xmlns:xs="http://www.w3.org/2001/XMLSchema" xmlns:p="http://schemas.microsoft.com/office/2006/metadata/properties" xmlns:ns2="57fdc9b5-54b9-48d0-967a-3a0afd34ae6a" xmlns:ns3="1ff69601-e2b8-4ef8-96f7-11e0579175c2" targetNamespace="http://schemas.microsoft.com/office/2006/metadata/properties" ma:root="true" ma:fieldsID="41feb0b3a8b187d3afbd5678fa587cca" ns2:_="" ns3:_="">
    <xsd:import namespace="57fdc9b5-54b9-48d0-967a-3a0afd34ae6a"/>
    <xsd:import namespace="1ff69601-e2b8-4ef8-96f7-11e057917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dc9b5-54b9-48d0-967a-3a0afd34a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69601-e2b8-4ef8-96f7-11e0579175c2"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f69601-e2b8-4ef8-96f7-11e0579175c2">
      <UserInfo>
        <DisplayName>Ellen Ekberg</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639A1-1DC9-43F0-B8D0-DD18AD5B63D8}">
  <ds:schemaRefs>
    <ds:schemaRef ds:uri="http://schemas.openxmlformats.org/officeDocument/2006/bibliography"/>
  </ds:schemaRefs>
</ds:datastoreItem>
</file>

<file path=customXml/itemProps2.xml><?xml version="1.0" encoding="utf-8"?>
<ds:datastoreItem xmlns:ds="http://schemas.openxmlformats.org/officeDocument/2006/customXml" ds:itemID="{1570106A-0C57-43B3-AD7E-A8E9E3C5ABCC}"/>
</file>

<file path=customXml/itemProps3.xml><?xml version="1.0" encoding="utf-8"?>
<ds:datastoreItem xmlns:ds="http://schemas.openxmlformats.org/officeDocument/2006/customXml" ds:itemID="{763EABEE-FAEA-4A83-A8A1-0AD98C596865}">
  <ds:schemaRefs>
    <ds:schemaRef ds:uri="http://schemas.microsoft.com/office/2006/metadata/properties"/>
    <ds:schemaRef ds:uri="http://schemas.microsoft.com/office/infopath/2007/PartnerControls"/>
    <ds:schemaRef ds:uri="1ff69601-e2b8-4ef8-96f7-11e0579175c2"/>
  </ds:schemaRefs>
</ds:datastoreItem>
</file>

<file path=customXml/itemProps4.xml><?xml version="1.0" encoding="utf-8"?>
<ds:datastoreItem xmlns:ds="http://schemas.openxmlformats.org/officeDocument/2006/customXml" ds:itemID="{D0FAD515-FE01-4E78-9BE7-E2B87520A815}">
  <ds:schemaRefs>
    <ds:schemaRef ds:uri="http://schemas.microsoft.com/sharepoint/v3/contenttype/forms"/>
  </ds:schemaRefs>
</ds:datastoreItem>
</file>

<file path=docMetadata/LabelInfo.xml><?xml version="1.0" encoding="utf-8"?>
<clbl:labelList xmlns:clbl="http://schemas.microsoft.com/office/2020/mipLabelMetadata">
  <clbl:label id="{58ba7f96-ec52-4045-93b8-99314898c971}" enabled="0" method="" siteId="{58ba7f96-ec52-4045-93b8-99314898c971}" removed="1"/>
</clbl:labelList>
</file>

<file path=docProps/app.xml><?xml version="1.0" encoding="utf-8"?>
<Properties xmlns="http://schemas.openxmlformats.org/officeDocument/2006/extended-properties" xmlns:vt="http://schemas.openxmlformats.org/officeDocument/2006/docPropsVTypes">
  <Template>Normal</Template>
  <TotalTime>1425</TotalTime>
  <Pages>8</Pages>
  <Words>2696</Words>
  <Characters>14295</Characters>
  <Application>Microsoft Office Word</Application>
  <DocSecurity>0</DocSecurity>
  <Lines>119</Lines>
  <Paragraphs>33</Paragraphs>
  <ScaleCrop>false</ScaleCrop>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Jönsson</dc:creator>
  <cp:keywords/>
  <dc:description/>
  <cp:lastModifiedBy>Baltzar Lundgren</cp:lastModifiedBy>
  <cp:revision>44</cp:revision>
  <dcterms:created xsi:type="dcterms:W3CDTF">2022-02-01T13:28:00Z</dcterms:created>
  <dcterms:modified xsi:type="dcterms:W3CDTF">2024-02-15T08:02:00Z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0x010100DB6740E3BFB05444BA2EF201ACA6FB16</vt:lpwstr>
  </property>
  <property fmtid="{D5CDD505-2E9C-101B-9397-08002B2CF9AE}" pid="3" name="Order">
    <vt:r8>260600</vt:r8>
  </property>
  <property fmtid="{D5CDD505-2E9C-101B-9397-08002B2CF9AE}" pid="4" name="xd_Signature">
    <vt:bool>false</vt:bool>
  </property>
  <property fmtid="{D5CDD505-2E9C-101B-9397-08002B2CF9AE}" pid="5" name="_ExtendedDescription">
    <vt:lpwstr/>
  </property>
  <property fmtid="{D5CDD505-2E9C-101B-9397-08002B2CF9AE}" pid="6" name="SharedWithUsers">
    <vt:lpwstr>186;#Ellen Ekberg</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